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520"/>
        <w:gridCol w:w="400"/>
        <w:gridCol w:w="100"/>
        <w:gridCol w:w="20"/>
        <w:gridCol w:w="100"/>
        <w:gridCol w:w="960"/>
        <w:gridCol w:w="1580"/>
        <w:gridCol w:w="42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1044258472" name="Picture">
</wp:docPr>
                  <a:graphic>
                    <a:graphicData uri="http://schemas.openxmlformats.org/drawingml/2006/picture">
                      <pic:pic>
                        <pic:nvPicPr>
                          <pic:cNvPr id="1044258472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Chuvisca</w:t>
              <w:br/>
              <w:t xml:space="preserve">EXECUÇÃO DOS ORÇAMENTOS</w:t>
              <w:br/>
              <w:t xml:space="preserve">Junho de 2022</w:t>
              <w:br/>
              <w:t xml:space="preserve">Entidade: 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CÂMARA MUNICIPAL DE VEREADORES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01.01.01.031.0001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PROCESSO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01.01.01.031.0001.1001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4.213,00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4.213,00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01.01.01.031.0001.2001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LEGISLATIVAS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772.025,07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115.779,01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307.734,04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124.160,04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307.734,04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487.420,91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22.939,69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128.066,37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32.405,45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102.590,48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1.264.450,98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139.593,70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440.013,41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157.440,49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414.537,52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Presidente da Câmara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Responsável pelas Finanças</w:t>
                    <w:br/>
                    <w:t xml:space="preserve">CIBELE JANKE WEEGE</w:t>
                    <w:br/>
                    <w:t xml:space="preserve">CPF 027.947.670-11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Tecnico em Contab. - Contador</w:t>
                    <w:br/>
                    <w:t xml:space="preserve">MAURO SÉRGIO ROCHA DA SILVA</w:t>
                    <w:br/>
                    <w:t xml:space="preserve">058.342/RS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15:09:59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