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50"/>
        <w:ind w:left="0"/>
        <w:jc w:val="center"/>
        <w:rPr>
          <w:b/>
          <w:sz w:val="22"/>
          <w:szCs w:val="24"/>
        </w:rPr>
      </w:pPr>
      <w:r>
        <w:rPr>
          <w:b/>
          <w:sz w:val="22"/>
          <w:szCs w:val="24"/>
        </w:rPr>
        <w:t xml:space="preserve">DECRETO Nº 5.6</w:t>
      </w:r>
      <w:r>
        <w:rPr>
          <w:b/>
          <w:sz w:val="22"/>
          <w:szCs w:val="24"/>
        </w:rPr>
        <w:t xml:space="preserve">63</w:t>
      </w:r>
      <w:r>
        <w:rPr>
          <w:b/>
          <w:sz w:val="22"/>
          <w:szCs w:val="24"/>
        </w:rPr>
        <w:t xml:space="preserve">/2024, DE </w:t>
      </w:r>
      <w:r>
        <w:rPr>
          <w:b/>
          <w:sz w:val="22"/>
          <w:szCs w:val="24"/>
        </w:rPr>
        <w:t xml:space="preserve">11</w:t>
      </w:r>
      <w:r>
        <w:rPr>
          <w:b/>
          <w:sz w:val="22"/>
          <w:szCs w:val="24"/>
        </w:rPr>
        <w:t xml:space="preserve"> DE NOVEMBRO.</w:t>
      </w:r>
      <w:r>
        <w:rPr>
          <w:sz w:val="22"/>
        </w:rPr>
      </w:r>
    </w:p>
    <w:p>
      <w:pPr>
        <w:pStyle w:val="950"/>
        <w:ind w:left="0"/>
        <w:rPr>
          <w:bCs/>
          <w:sz w:val="22"/>
          <w:szCs w:val="24"/>
        </w:rPr>
      </w:pPr>
      <w:r>
        <w:rPr>
          <w:bCs/>
          <w:sz w:val="22"/>
          <w:szCs w:val="24"/>
        </w:rPr>
      </w:r>
      <w:r>
        <w:rPr>
          <w:sz w:val="22"/>
        </w:rPr>
      </w:r>
    </w:p>
    <w:p>
      <w:pPr>
        <w:pStyle w:val="950"/>
        <w:ind w:left="4956"/>
        <w:rPr>
          <w:b/>
          <w:sz w:val="22"/>
        </w:rPr>
      </w:pPr>
      <w:r>
        <w:rPr>
          <w:b/>
          <w:i/>
          <w:sz w:val="22"/>
          <w:szCs w:val="24"/>
        </w:rPr>
        <w:t xml:space="preserve">Autoriza o Poder Executivo abrir Crédito Suplementar concedido pela Lei n.º 5.384/2023 de 19 de dezembro.</w:t>
      </w:r>
      <w:r>
        <w:rPr>
          <w:sz w:val="22"/>
        </w:rPr>
      </w:r>
    </w:p>
    <w:p>
      <w:pPr>
        <w:pStyle w:val="950"/>
        <w:ind w:left="0"/>
        <w:rPr>
          <w:i/>
          <w:sz w:val="22"/>
          <w:szCs w:val="24"/>
        </w:rPr>
      </w:pPr>
      <w:r>
        <w:rPr>
          <w:i/>
          <w:sz w:val="22"/>
          <w:szCs w:val="24"/>
        </w:rPr>
      </w:r>
      <w:r>
        <w:rPr>
          <w:sz w:val="22"/>
        </w:rPr>
      </w:r>
    </w:p>
    <w:p>
      <w:pPr>
        <w:jc w:val="both"/>
        <w:tabs>
          <w:tab w:val="left" w:pos="709" w:leader="none"/>
          <w:tab w:val="left" w:pos="1134" w:leader="none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O Prefeito de Santa Bárbara do Sul, Estado do Rio Grande do Sul, com base no art. 64 da Lei Orgânica Municipal,</w:t>
      </w:r>
      <w:r>
        <w:rPr>
          <w:sz w:val="22"/>
        </w:rPr>
      </w:r>
      <w:r>
        <w:rPr>
          <w:rFonts w:ascii="Times New Roman" w:hAnsi="Times New Roman"/>
          <w:sz w:val="22"/>
        </w:rPr>
      </w:r>
      <w:r>
        <w:rPr>
          <w:sz w:val="22"/>
        </w:rPr>
      </w:r>
      <w:r>
        <w:rPr>
          <w:rFonts w:ascii="Times New Roman" w:hAnsi="Times New Roman"/>
          <w:sz w:val="22"/>
        </w:rPr>
      </w:r>
    </w:p>
    <w:p>
      <w:pPr>
        <w:jc w:val="center"/>
        <w:tabs>
          <w:tab w:val="left" w:pos="709" w:leader="none"/>
        </w:tabs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DECRETA:</w:t>
      </w:r>
      <w:r>
        <w:rPr>
          <w:sz w:val="22"/>
        </w:rPr>
      </w:r>
    </w:p>
    <w:p>
      <w:pPr>
        <w:tabs>
          <w:tab w:val="left" w:pos="709" w:leader="none"/>
        </w:tabs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bCs/>
          <w:sz w:val="22"/>
        </w:rPr>
      </w:r>
      <w:r>
        <w:rPr>
          <w:sz w:val="22"/>
        </w:rPr>
      </w:r>
    </w:p>
    <w:p>
      <w:pPr>
        <w:pStyle w:val="945"/>
        <w:tabs>
          <w:tab w:val="left" w:pos="709" w:leader="none"/>
        </w:tabs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b/>
          <w:bCs/>
          <w:sz w:val="22"/>
          <w:szCs w:val="24"/>
        </w:rPr>
        <w:t xml:space="preserve"> </w:t>
      </w:r>
      <w:r>
        <w:rPr>
          <w:rFonts w:ascii="Times New Roman" w:hAnsi="Times New Roman"/>
          <w:b/>
          <w:bCs/>
          <w:sz w:val="22"/>
          <w:szCs w:val="24"/>
        </w:rPr>
        <w:tab/>
        <w:t xml:space="preserve">Art. 1.º</w:t>
      </w:r>
      <w:r>
        <w:rPr>
          <w:rFonts w:ascii="Times New Roman" w:hAnsi="Times New Roman"/>
          <w:sz w:val="22"/>
          <w:szCs w:val="24"/>
        </w:rPr>
        <w:t xml:space="preserve"> Fica autorizado o Poder Executivo Municipal a abrir Crédito Suplementar no valor global de </w:t>
      </w:r>
      <w:r>
        <w:rPr>
          <w:rFonts w:ascii="Times New Roman" w:hAnsi="Times New Roman"/>
          <w:b/>
          <w:bCs/>
          <w:sz w:val="22"/>
          <w:szCs w:val="24"/>
        </w:rPr>
        <w:t xml:space="preserve">R$ </w:t>
      </w:r>
      <w:r>
        <w:rPr>
          <w:rFonts w:ascii="Times New Roman" w:hAnsi="Times New Roman"/>
          <w:b/>
          <w:bCs/>
          <w:sz w:val="22"/>
          <w:szCs w:val="24"/>
        </w:rPr>
        <w:t xml:space="preserve">1.112.258,00</w:t>
      </w:r>
      <w:r>
        <w:rPr>
          <w:rFonts w:ascii="Times New Roman" w:hAnsi="Times New Roman"/>
          <w:bCs/>
          <w:sz w:val="22"/>
          <w:szCs w:val="24"/>
        </w:rPr>
        <w:t xml:space="preserve"> </w:t>
      </w:r>
      <w:r>
        <w:rPr>
          <w:rFonts w:ascii="Times New Roman" w:hAnsi="Times New Roman"/>
          <w:sz w:val="22"/>
          <w:szCs w:val="24"/>
        </w:rPr>
        <w:t xml:space="preserve">(</w:t>
      </w:r>
      <w:r>
        <w:rPr>
          <w:rFonts w:ascii="Times New Roman" w:hAnsi="Times New Roman"/>
          <w:sz w:val="22"/>
          <w:szCs w:val="24"/>
        </w:rPr>
        <w:t xml:space="preserve">um milhão, cento e doze mil, duzentos e cinquenta e oito reais</w:t>
      </w:r>
      <w:r>
        <w:rPr>
          <w:rFonts w:ascii="Times New Roman" w:hAnsi="Times New Roman"/>
          <w:sz w:val="22"/>
          <w:szCs w:val="24"/>
        </w:rPr>
        <w:t xml:space="preserve">) na(s) seguinte(s) rubrica(s) e especificação(</w:t>
      </w:r>
      <w:r>
        <w:rPr>
          <w:rFonts w:ascii="Times New Roman" w:hAnsi="Times New Roman"/>
          <w:sz w:val="22"/>
          <w:szCs w:val="24"/>
        </w:rPr>
        <w:t xml:space="preserve">ões</w:t>
      </w:r>
      <w:r>
        <w:rPr>
          <w:rFonts w:ascii="Times New Roman" w:hAnsi="Times New Roman"/>
          <w:sz w:val="22"/>
          <w:szCs w:val="24"/>
        </w:rPr>
        <w:t xml:space="preserve">):</w:t>
      </w:r>
      <w:r>
        <w:rPr>
          <w:sz w:val="22"/>
        </w:rPr>
      </w:r>
    </w:p>
    <w:tbl>
      <w:tblPr>
        <w:tblStyle w:val="1048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0"/>
        <w:gridCol w:w="664"/>
        <w:gridCol w:w="2182"/>
      </w:tblGrid>
      <w:tr>
        <w:trPr>
          <w:tblCellSpacing w:w="0" w:type="dxa"/>
        </w:trPr>
        <w:tc>
          <w:tcPr>
            <w:tcW w:w="3500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02.0201.04.122.0002.2,095 - 3390 39 00 00 000 - FR 0500 - Recursos não Vinculados de Impostos - Manutenção do Calendário de Eventos Oficiais - OUTROS SERVIÇOS DE TERCEIROS - PESSOA JURÍDICA</w:t>
            </w:r>
            <w:r>
              <w:rPr>
                <w:sz w:val="18"/>
              </w:rPr>
            </w:r>
          </w:p>
        </w:tc>
        <w:tc>
          <w:tcPr>
            <w:tcW w:w="350" w:type="pct"/>
            <w:vAlign w:val="center"/>
            <w:textDirection w:val="lrTb"/>
            <w:noWrap w:val="false"/>
          </w:tcPr>
          <w:p>
            <w:pPr>
              <w:jc w:val="center"/>
              <w:keepNext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R$</w:t>
            </w:r>
            <w:r>
              <w:rPr>
                <w:sz w:val="18"/>
              </w:rPr>
            </w:r>
          </w:p>
        </w:tc>
        <w:tc>
          <w:tcPr>
            <w:tcW w:w="1150" w:type="pct"/>
            <w:vAlign w:val="center"/>
            <w:textDirection w:val="lrTb"/>
            <w:noWrap w:val="false"/>
          </w:tcPr>
          <w:p>
            <w:pPr>
              <w:jc w:val="right"/>
              <w:keepNext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1.750,00</w:t>
            </w:r>
            <w:r>
              <w:rPr>
                <w:sz w:val="18"/>
              </w:rPr>
            </w:r>
          </w:p>
        </w:tc>
      </w:tr>
      <w:tr>
        <w:trPr>
          <w:tblCellSpacing w:w="0" w:type="dxa"/>
        </w:trPr>
        <w:tc>
          <w:tcPr>
            <w:tcW w:w="3500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03.0301.04.122.0002.2,003 - 3390 46 00 00 000 - FR 0500 - Recursos não Vinculados de Impostos - Manutenção da Secretaria da Administração - AUXÍLIO-ALIMENTAÇÃO</w:t>
            </w:r>
            <w:r>
              <w:rPr>
                <w:sz w:val="18"/>
              </w:rPr>
            </w:r>
          </w:p>
        </w:tc>
        <w:tc>
          <w:tcPr>
            <w:tcW w:w="350" w:type="pct"/>
            <w:vAlign w:val="center"/>
            <w:textDirection w:val="lrTb"/>
            <w:noWrap w:val="false"/>
          </w:tcPr>
          <w:p>
            <w:pPr>
              <w:jc w:val="center"/>
              <w:keepNext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R$</w:t>
            </w:r>
            <w:r>
              <w:rPr>
                <w:sz w:val="18"/>
              </w:rPr>
            </w:r>
          </w:p>
        </w:tc>
        <w:tc>
          <w:tcPr>
            <w:tcW w:w="1150" w:type="pct"/>
            <w:vAlign w:val="center"/>
            <w:textDirection w:val="lrTb"/>
            <w:noWrap w:val="false"/>
          </w:tcPr>
          <w:p>
            <w:pPr>
              <w:jc w:val="right"/>
              <w:keepNext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66.000,00</w:t>
            </w:r>
            <w:r>
              <w:rPr>
                <w:sz w:val="18"/>
              </w:rPr>
            </w:r>
          </w:p>
        </w:tc>
      </w:tr>
      <w:tr>
        <w:trPr>
          <w:tblCellSpacing w:w="0" w:type="dxa"/>
        </w:trPr>
        <w:tc>
          <w:tcPr>
            <w:tcW w:w="3500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03.0301.04.122.0002.2,099 - 3390 39 00 00 000 - FR 0500 - Recursos não Vinculados de Impostos - Manutenção dos Serviços de Publicidade - OUTROS SERVIÇOS DE TERCEIROS - PESSOA JURÍDICA</w:t>
            </w:r>
            <w:r>
              <w:rPr>
                <w:sz w:val="18"/>
              </w:rPr>
            </w:r>
          </w:p>
        </w:tc>
        <w:tc>
          <w:tcPr>
            <w:tcW w:w="350" w:type="pct"/>
            <w:vAlign w:val="center"/>
            <w:textDirection w:val="lrTb"/>
            <w:noWrap w:val="false"/>
          </w:tcPr>
          <w:p>
            <w:pPr>
              <w:jc w:val="center"/>
              <w:keepNext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R$</w:t>
            </w:r>
            <w:r>
              <w:rPr>
                <w:sz w:val="18"/>
              </w:rPr>
            </w:r>
          </w:p>
        </w:tc>
        <w:tc>
          <w:tcPr>
            <w:tcW w:w="1150" w:type="pct"/>
            <w:vAlign w:val="center"/>
            <w:textDirection w:val="lrTb"/>
            <w:noWrap w:val="false"/>
          </w:tcPr>
          <w:p>
            <w:pPr>
              <w:jc w:val="right"/>
              <w:keepNext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11.000,00</w:t>
            </w:r>
            <w:r>
              <w:rPr>
                <w:sz w:val="18"/>
              </w:rPr>
            </w:r>
          </w:p>
        </w:tc>
      </w:tr>
      <w:tr>
        <w:trPr>
          <w:tblCellSpacing w:w="0" w:type="dxa"/>
        </w:trPr>
        <w:tc>
          <w:tcPr>
            <w:tcW w:w="3500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05.0501.12.122.0002.2,101 - 3390 39 00</w:t>
            </w:r>
            <w:r>
              <w:rPr>
                <w:rFonts w:ascii="Times New Roman" w:hAnsi="Times New Roman"/>
                <w:sz w:val="18"/>
                <w:szCs w:val="20"/>
              </w:rPr>
              <w:t xml:space="preserve"> 00 000 - FR 0500 - Recursos não Vinculados de Impostos - CO 1001 - Identificação das Despesas com Manutenção e Desenvolvimento do Ensino - Manutenção das Atividades Administrativas da Secretaria de Educação - OUTROS SERVIÇOS DE TERCEIROS - PESSOA JURÍDICA</w:t>
            </w:r>
            <w:r>
              <w:rPr>
                <w:sz w:val="18"/>
              </w:rPr>
            </w:r>
          </w:p>
        </w:tc>
        <w:tc>
          <w:tcPr>
            <w:tcW w:w="350" w:type="pct"/>
            <w:vAlign w:val="center"/>
            <w:textDirection w:val="lrTb"/>
            <w:noWrap w:val="false"/>
          </w:tcPr>
          <w:p>
            <w:pPr>
              <w:jc w:val="center"/>
              <w:keepNext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R$</w:t>
            </w:r>
            <w:r>
              <w:rPr>
                <w:sz w:val="18"/>
              </w:rPr>
            </w:r>
          </w:p>
        </w:tc>
        <w:tc>
          <w:tcPr>
            <w:tcW w:w="1150" w:type="pct"/>
            <w:vAlign w:val="center"/>
            <w:textDirection w:val="lrTb"/>
            <w:noWrap w:val="false"/>
          </w:tcPr>
          <w:p>
            <w:pPr>
              <w:jc w:val="right"/>
              <w:keepNext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4.400,00</w:t>
            </w:r>
            <w:r>
              <w:rPr>
                <w:sz w:val="18"/>
              </w:rPr>
            </w:r>
          </w:p>
        </w:tc>
      </w:tr>
      <w:tr>
        <w:trPr>
          <w:tblCellSpacing w:w="0" w:type="dxa"/>
        </w:trPr>
        <w:tc>
          <w:tcPr>
            <w:tcW w:w="3500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05.0501.12.122.0002.2,101 - 3390 39 00</w:t>
            </w:r>
            <w:r>
              <w:rPr>
                <w:rFonts w:ascii="Times New Roman" w:hAnsi="Times New Roman"/>
                <w:sz w:val="18"/>
                <w:szCs w:val="20"/>
              </w:rPr>
              <w:t xml:space="preserve"> 00 000 - FR 0500 - Recursos não Vinculados de Impostos - CO 1001 - Identificação das Despesas com Manutenção e Desenvolvimento do Ensino - Manutenção das Atividades Administrativas da Secretaria de Educação - OUTROS SERVIÇOS DE TERCEIROS - PESSOA JURÍDICA</w:t>
            </w:r>
            <w:r>
              <w:rPr>
                <w:sz w:val="18"/>
              </w:rPr>
            </w:r>
          </w:p>
        </w:tc>
        <w:tc>
          <w:tcPr>
            <w:tcW w:w="350" w:type="pct"/>
            <w:vAlign w:val="center"/>
            <w:textDirection w:val="lrTb"/>
            <w:noWrap w:val="false"/>
          </w:tcPr>
          <w:p>
            <w:pPr>
              <w:jc w:val="center"/>
              <w:keepNext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R$</w:t>
            </w:r>
            <w:r>
              <w:rPr>
                <w:sz w:val="18"/>
              </w:rPr>
            </w:r>
          </w:p>
        </w:tc>
        <w:tc>
          <w:tcPr>
            <w:tcW w:w="1150" w:type="pct"/>
            <w:vAlign w:val="center"/>
            <w:textDirection w:val="lrTb"/>
            <w:noWrap w:val="false"/>
          </w:tcPr>
          <w:p>
            <w:pPr>
              <w:jc w:val="right"/>
              <w:keepNext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10.000,00</w:t>
            </w:r>
            <w:r>
              <w:rPr>
                <w:sz w:val="18"/>
              </w:rPr>
            </w:r>
          </w:p>
        </w:tc>
      </w:tr>
      <w:tr>
        <w:trPr>
          <w:tblCellSpacing w:w="0" w:type="dxa"/>
        </w:trPr>
        <w:tc>
          <w:tcPr>
            <w:tcW w:w="3500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05.0504.27.812.0007.2,058 - 3390 39 00 00 000 - FR 0500 - Recursos não Vinculados de Impostos - Manutenção do Ginásio de Esportes - OUTROS SERVIÇOS DE TERCEIROS - PESSOA JURÍDICA</w:t>
            </w:r>
            <w:r>
              <w:rPr>
                <w:sz w:val="18"/>
              </w:rPr>
            </w:r>
          </w:p>
        </w:tc>
        <w:tc>
          <w:tcPr>
            <w:tcW w:w="350" w:type="pct"/>
            <w:vAlign w:val="center"/>
            <w:textDirection w:val="lrTb"/>
            <w:noWrap w:val="false"/>
          </w:tcPr>
          <w:p>
            <w:pPr>
              <w:jc w:val="center"/>
              <w:keepNext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R$</w:t>
            </w:r>
            <w:r>
              <w:rPr>
                <w:sz w:val="18"/>
              </w:rPr>
            </w:r>
          </w:p>
        </w:tc>
        <w:tc>
          <w:tcPr>
            <w:tcW w:w="1150" w:type="pct"/>
            <w:vAlign w:val="center"/>
            <w:textDirection w:val="lrTb"/>
            <w:noWrap w:val="false"/>
          </w:tcPr>
          <w:p>
            <w:pPr>
              <w:jc w:val="right"/>
              <w:keepNext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300,00</w:t>
            </w:r>
            <w:r>
              <w:rPr>
                <w:sz w:val="18"/>
              </w:rPr>
            </w:r>
          </w:p>
        </w:tc>
      </w:tr>
      <w:tr>
        <w:trPr>
          <w:tblCellSpacing w:w="0" w:type="dxa"/>
        </w:trPr>
        <w:tc>
          <w:tcPr>
            <w:tcW w:w="3500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06.0601.04.452.0025.2,087 - 3390 39 00 00 000 - FR 0500 - Recursos não Vinculados de Impostos - Manutenção do Cemitério Municipal - OUTROS SERVIÇOS DE TERCEIROS - PESSOA JURÍDICA</w:t>
            </w:r>
            <w:r>
              <w:rPr>
                <w:sz w:val="18"/>
              </w:rPr>
            </w:r>
          </w:p>
        </w:tc>
        <w:tc>
          <w:tcPr>
            <w:tcW w:w="350" w:type="pct"/>
            <w:vAlign w:val="center"/>
            <w:textDirection w:val="lrTb"/>
            <w:noWrap w:val="false"/>
          </w:tcPr>
          <w:p>
            <w:pPr>
              <w:jc w:val="center"/>
              <w:keepNext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R$</w:t>
            </w:r>
            <w:r>
              <w:rPr>
                <w:sz w:val="18"/>
              </w:rPr>
            </w:r>
          </w:p>
        </w:tc>
        <w:tc>
          <w:tcPr>
            <w:tcW w:w="1150" w:type="pct"/>
            <w:vAlign w:val="center"/>
            <w:textDirection w:val="lrTb"/>
            <w:noWrap w:val="false"/>
          </w:tcPr>
          <w:p>
            <w:pPr>
              <w:jc w:val="right"/>
              <w:keepNext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3.000,00</w:t>
            </w:r>
            <w:r>
              <w:rPr>
                <w:sz w:val="18"/>
              </w:rPr>
            </w:r>
          </w:p>
        </w:tc>
      </w:tr>
      <w:tr>
        <w:trPr>
          <w:tblCellSpacing w:w="0" w:type="dxa"/>
        </w:trPr>
        <w:tc>
          <w:tcPr>
            <w:tcW w:w="3500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06.0602.15.451.0025.1,020 - 4490 51 00 00 000 - FR 0500 - Recursos não Vinculados de Impostos - Abertura, Prolongamento, Pavimentação e Reforma de Vias Urbanas - OBRAS E INSTALAÇÕES</w:t>
            </w:r>
            <w:r>
              <w:rPr>
                <w:sz w:val="18"/>
              </w:rPr>
            </w:r>
          </w:p>
        </w:tc>
        <w:tc>
          <w:tcPr>
            <w:tcW w:w="350" w:type="pct"/>
            <w:vAlign w:val="center"/>
            <w:textDirection w:val="lrTb"/>
            <w:noWrap w:val="false"/>
          </w:tcPr>
          <w:p>
            <w:pPr>
              <w:jc w:val="center"/>
              <w:keepNext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R$</w:t>
            </w:r>
            <w:r>
              <w:rPr>
                <w:sz w:val="18"/>
              </w:rPr>
            </w:r>
          </w:p>
        </w:tc>
        <w:tc>
          <w:tcPr>
            <w:tcW w:w="1150" w:type="pct"/>
            <w:vAlign w:val="center"/>
            <w:textDirection w:val="lrTb"/>
            <w:noWrap w:val="false"/>
          </w:tcPr>
          <w:p>
            <w:pPr>
              <w:jc w:val="right"/>
              <w:keepNext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60.000,00</w:t>
            </w:r>
            <w:r>
              <w:rPr>
                <w:sz w:val="18"/>
              </w:rPr>
            </w:r>
          </w:p>
        </w:tc>
      </w:tr>
      <w:tr>
        <w:trPr>
          <w:tblCellSpacing w:w="0" w:type="dxa"/>
        </w:trPr>
        <w:tc>
          <w:tcPr>
            <w:tcW w:w="3500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06.0602.15.451.0025.1,020 - 4490 51 00 00 000 - FR 0500 - Recursos não Vinculados de Impostos - Abertura, Prolongamento, Pavimentação e Reforma de Vias Urbanas - OBRAS E INSTALAÇÕES</w:t>
            </w:r>
            <w:r>
              <w:rPr>
                <w:sz w:val="18"/>
              </w:rPr>
            </w:r>
          </w:p>
        </w:tc>
        <w:tc>
          <w:tcPr>
            <w:tcW w:w="350" w:type="pct"/>
            <w:vAlign w:val="center"/>
            <w:textDirection w:val="lrTb"/>
            <w:noWrap w:val="false"/>
          </w:tcPr>
          <w:p>
            <w:pPr>
              <w:jc w:val="center"/>
              <w:keepNext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R$</w:t>
            </w:r>
            <w:r>
              <w:rPr>
                <w:sz w:val="18"/>
              </w:rPr>
            </w:r>
          </w:p>
        </w:tc>
        <w:tc>
          <w:tcPr>
            <w:tcW w:w="1150" w:type="pct"/>
            <w:vAlign w:val="center"/>
            <w:textDirection w:val="lrTb"/>
            <w:noWrap w:val="false"/>
          </w:tcPr>
          <w:p>
            <w:pPr>
              <w:jc w:val="right"/>
              <w:keepNext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400.000,00</w:t>
            </w:r>
            <w:r>
              <w:rPr>
                <w:sz w:val="18"/>
              </w:rPr>
            </w:r>
          </w:p>
        </w:tc>
      </w:tr>
      <w:tr>
        <w:trPr>
          <w:tblCellSpacing w:w="0" w:type="dxa"/>
        </w:trPr>
        <w:tc>
          <w:tcPr>
            <w:tcW w:w="3500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06.0602.15.451.0025.1,020 - 4490 51 00 00 000 - FR 0500 - Recursos não Vinculados de Impostos - Abertura, Prolongamento, Pavimentação e Reforma de Vias Urbanas - OBRAS E INSTALAÇÕES</w:t>
            </w:r>
            <w:r>
              <w:rPr>
                <w:sz w:val="18"/>
              </w:rPr>
            </w:r>
          </w:p>
        </w:tc>
        <w:tc>
          <w:tcPr>
            <w:tcW w:w="350" w:type="pct"/>
            <w:vAlign w:val="center"/>
            <w:textDirection w:val="lrTb"/>
            <w:noWrap w:val="false"/>
          </w:tcPr>
          <w:p>
            <w:pPr>
              <w:jc w:val="center"/>
              <w:keepNext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R$</w:t>
            </w:r>
            <w:r>
              <w:rPr>
                <w:sz w:val="18"/>
              </w:rPr>
            </w:r>
          </w:p>
        </w:tc>
        <w:tc>
          <w:tcPr>
            <w:tcW w:w="1150" w:type="pct"/>
            <w:vAlign w:val="center"/>
            <w:textDirection w:val="lrTb"/>
            <w:noWrap w:val="false"/>
          </w:tcPr>
          <w:p>
            <w:pPr>
              <w:jc w:val="right"/>
              <w:keepNext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56.500,00</w:t>
            </w:r>
            <w:r>
              <w:rPr>
                <w:sz w:val="18"/>
              </w:rPr>
            </w:r>
          </w:p>
        </w:tc>
      </w:tr>
      <w:tr>
        <w:trPr>
          <w:tblCellSpacing w:w="0" w:type="dxa"/>
        </w:trPr>
        <w:tc>
          <w:tcPr>
            <w:tcW w:w="3500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06.0602.15.451.0025.1,020 - 4490 51 00 00 000 - FR 0500 - Recursos não Vinculados de Impostos - Abertura, Prolongamento, Pavimentação e Reforma de Vias Urbanas - OBRAS E INSTALAÇÕES</w:t>
            </w:r>
            <w:r>
              <w:rPr>
                <w:sz w:val="18"/>
              </w:rPr>
            </w:r>
          </w:p>
        </w:tc>
        <w:tc>
          <w:tcPr>
            <w:tcW w:w="350" w:type="pct"/>
            <w:vAlign w:val="center"/>
            <w:textDirection w:val="lrTb"/>
            <w:noWrap w:val="false"/>
          </w:tcPr>
          <w:p>
            <w:pPr>
              <w:jc w:val="center"/>
              <w:keepNext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R$</w:t>
            </w:r>
            <w:r>
              <w:rPr>
                <w:sz w:val="18"/>
              </w:rPr>
            </w:r>
          </w:p>
        </w:tc>
        <w:tc>
          <w:tcPr>
            <w:tcW w:w="1150" w:type="pct"/>
            <w:vAlign w:val="center"/>
            <w:textDirection w:val="lrTb"/>
            <w:noWrap w:val="false"/>
          </w:tcPr>
          <w:p>
            <w:pPr>
              <w:jc w:val="right"/>
              <w:keepNext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177.000,00</w:t>
            </w:r>
            <w:r>
              <w:rPr>
                <w:sz w:val="18"/>
              </w:rPr>
            </w:r>
          </w:p>
        </w:tc>
      </w:tr>
      <w:tr>
        <w:trPr>
          <w:tblCellSpacing w:w="0" w:type="dxa"/>
        </w:trPr>
        <w:tc>
          <w:tcPr>
            <w:tcW w:w="3500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06.</w:t>
            </w:r>
            <w:r>
              <w:rPr>
                <w:rFonts w:ascii="Times New Roman" w:hAnsi="Times New Roman"/>
                <w:sz w:val="18"/>
                <w:szCs w:val="20"/>
              </w:rPr>
              <w:t xml:space="preserve">0605.16.482.0015.1,017 - 3390 32 00 00 000 - FR 0759 - Recursos Vinculados a Fundos - Sub Vínculo 75907 - APORTE - FMH - FUNDO MUN. HABITAÇÃO - Construção, Reforma e Melhorias de Moradias na Zona Urbana - MATERIAL, BEM OU SERVIÇO PARA DISTRIBUIÇÃO GRATUITA</w:t>
            </w:r>
            <w:r>
              <w:rPr>
                <w:sz w:val="18"/>
              </w:rPr>
            </w:r>
          </w:p>
        </w:tc>
        <w:tc>
          <w:tcPr>
            <w:tcW w:w="350" w:type="pct"/>
            <w:vAlign w:val="center"/>
            <w:textDirection w:val="lrTb"/>
            <w:noWrap w:val="false"/>
          </w:tcPr>
          <w:p>
            <w:pPr>
              <w:jc w:val="center"/>
              <w:keepNext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R$</w:t>
            </w:r>
            <w:r>
              <w:rPr>
                <w:sz w:val="18"/>
              </w:rPr>
            </w:r>
          </w:p>
        </w:tc>
        <w:tc>
          <w:tcPr>
            <w:tcW w:w="1150" w:type="pct"/>
            <w:vAlign w:val="center"/>
            <w:textDirection w:val="lrTb"/>
            <w:noWrap w:val="false"/>
          </w:tcPr>
          <w:p>
            <w:pPr>
              <w:jc w:val="right"/>
              <w:keepNext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6.000,00</w:t>
            </w:r>
            <w:r>
              <w:rPr>
                <w:sz w:val="18"/>
              </w:rPr>
            </w:r>
          </w:p>
        </w:tc>
      </w:tr>
      <w:tr>
        <w:trPr>
          <w:tblCellSpacing w:w="0" w:type="dxa"/>
        </w:trPr>
        <w:tc>
          <w:tcPr>
            <w:tcW w:w="3500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09.0901.10.301.0014.2,030 - 3390 36 00 00 000 - FR 0500 - Recursos não Vinculados de Impostos - CO 1002 - Identificação das Despesas com Ações e Serviços Públicos de Saúde - Gestão da Atenção Primária à Saúde - OUTROS SERVIÇOS DE TERCEIROS - PESSOA FÍSICA</w:t>
            </w:r>
            <w:r>
              <w:rPr>
                <w:sz w:val="18"/>
              </w:rPr>
            </w:r>
          </w:p>
        </w:tc>
        <w:tc>
          <w:tcPr>
            <w:tcW w:w="350" w:type="pct"/>
            <w:vAlign w:val="center"/>
            <w:textDirection w:val="lrTb"/>
            <w:noWrap w:val="false"/>
          </w:tcPr>
          <w:p>
            <w:pPr>
              <w:jc w:val="center"/>
              <w:keepNext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R$</w:t>
            </w:r>
            <w:r>
              <w:rPr>
                <w:sz w:val="18"/>
              </w:rPr>
            </w:r>
          </w:p>
        </w:tc>
        <w:tc>
          <w:tcPr>
            <w:tcW w:w="1150" w:type="pct"/>
            <w:vAlign w:val="center"/>
            <w:textDirection w:val="lrTb"/>
            <w:noWrap w:val="false"/>
          </w:tcPr>
          <w:p>
            <w:pPr>
              <w:jc w:val="right"/>
              <w:keepNext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10.000,00</w:t>
            </w:r>
            <w:r>
              <w:rPr>
                <w:sz w:val="18"/>
              </w:rPr>
            </w:r>
          </w:p>
        </w:tc>
      </w:tr>
      <w:tr>
        <w:trPr>
          <w:tblCellSpacing w:w="0" w:type="dxa"/>
        </w:trPr>
        <w:tc>
          <w:tcPr>
            <w:tcW w:w="3500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09.0901.10.302.0019.0,008 - 3350 43 00 00 000 - FR 0500 - Recursos não Vinculados de Impostos - CO 1002 - Identificação das Despesas com Ações e Serviços Públicos de Saúde - Subvenção Hospital Santa Bárbara Beneficente - HSBB - SUBVENCOES SOCIAIS</w:t>
            </w:r>
            <w:r>
              <w:rPr>
                <w:sz w:val="18"/>
              </w:rPr>
            </w:r>
          </w:p>
        </w:tc>
        <w:tc>
          <w:tcPr>
            <w:tcW w:w="350" w:type="pct"/>
            <w:vAlign w:val="center"/>
            <w:textDirection w:val="lrTb"/>
            <w:noWrap w:val="false"/>
          </w:tcPr>
          <w:p>
            <w:pPr>
              <w:jc w:val="center"/>
              <w:keepNext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R$</w:t>
            </w:r>
            <w:r>
              <w:rPr>
                <w:sz w:val="18"/>
              </w:rPr>
            </w:r>
          </w:p>
        </w:tc>
        <w:tc>
          <w:tcPr>
            <w:tcW w:w="1150" w:type="pct"/>
            <w:vAlign w:val="center"/>
            <w:textDirection w:val="lrTb"/>
            <w:noWrap w:val="false"/>
          </w:tcPr>
          <w:p>
            <w:pPr>
              <w:jc w:val="right"/>
              <w:keepNext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306.308,00</w:t>
            </w:r>
            <w:r>
              <w:rPr>
                <w:sz w:val="18"/>
              </w:rPr>
            </w:r>
          </w:p>
        </w:tc>
      </w:tr>
      <w:tr>
        <w:trPr>
          <w:tblCellSpacing w:w="0" w:type="dxa"/>
        </w:trPr>
        <w:tc>
          <w:tcPr>
            <w:tcW w:w="3500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 xml:space="preserve">Total</w:t>
            </w:r>
            <w:r>
              <w:rPr>
                <w:sz w:val="18"/>
              </w:rPr>
            </w:r>
          </w:p>
        </w:tc>
        <w:tc>
          <w:tcPr>
            <w:tcW w:w="350" w:type="pct"/>
            <w:vAlign w:val="center"/>
            <w:textDirection w:val="lrTb"/>
            <w:noWrap w:val="false"/>
          </w:tcPr>
          <w:p>
            <w:pPr>
              <w:jc w:val="center"/>
              <w:keepNext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 xml:space="preserve">R$</w:t>
            </w:r>
            <w:r>
              <w:rPr>
                <w:sz w:val="18"/>
              </w:rPr>
            </w:r>
          </w:p>
        </w:tc>
        <w:tc>
          <w:tcPr>
            <w:tcW w:w="1150" w:type="pct"/>
            <w:vAlign w:val="center"/>
            <w:textDirection w:val="lrTb"/>
            <w:noWrap w:val="false"/>
          </w:tcPr>
          <w:p>
            <w:pPr>
              <w:jc w:val="right"/>
              <w:keepNext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 xml:space="preserve">1.112.258,00</w:t>
            </w:r>
            <w:r>
              <w:rPr>
                <w:sz w:val="18"/>
              </w:rPr>
            </w:r>
          </w:p>
        </w:tc>
      </w:tr>
    </w:tbl>
    <w:p>
      <w:pPr>
        <w:pStyle w:val="945"/>
        <w:tabs>
          <w:tab w:val="left" w:pos="709" w:leader="none"/>
        </w:tabs>
        <w:rPr>
          <w:rFonts w:ascii="Times New Roman" w:hAnsi="Times New Roman"/>
          <w:b/>
          <w:sz w:val="18"/>
          <w:szCs w:val="22"/>
        </w:rPr>
      </w:pPr>
      <w:r>
        <w:rPr>
          <w:rFonts w:ascii="Times New Roman" w:hAnsi="Times New Roman"/>
          <w:b/>
          <w:sz w:val="18"/>
          <w:szCs w:val="22"/>
        </w:rPr>
        <w:tab/>
      </w:r>
      <w:r>
        <w:rPr>
          <w:rFonts w:ascii="Times New Roman" w:hAnsi="Times New Roman"/>
          <w:sz w:val="18"/>
          <w:szCs w:val="22"/>
        </w:rPr>
      </w:r>
    </w:p>
    <w:p>
      <w:pPr>
        <w:pStyle w:val="945"/>
        <w:tabs>
          <w:tab w:val="left" w:pos="709" w:leader="none"/>
        </w:tabs>
        <w:rPr>
          <w:rFonts w:ascii="Times New Roman" w:hAnsi="Times New Roman"/>
          <w:sz w:val="18"/>
          <w:szCs w:val="22"/>
        </w:rPr>
      </w:pPr>
      <w:r>
        <w:rPr>
          <w:rFonts w:ascii="Times New Roman" w:hAnsi="Times New Roman"/>
          <w:b/>
          <w:sz w:val="18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 xml:space="preserve">Art. 2.º</w:t>
      </w:r>
      <w:r>
        <w:rPr>
          <w:rFonts w:ascii="Times New Roman" w:hAnsi="Times New Roman"/>
          <w:sz w:val="22"/>
          <w:szCs w:val="22"/>
        </w:rPr>
        <w:t xml:space="preserve"> Para cobertura do presente Crédito fica autorizada a redução da(s) seguinte(s) rubrica(s):</w:t>
      </w:r>
      <w:r>
        <w:rPr>
          <w:sz w:val="18"/>
        </w:rPr>
      </w:r>
      <w:r/>
    </w:p>
    <w:tbl>
      <w:tblPr>
        <w:tblStyle w:val="1049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0"/>
        <w:gridCol w:w="664"/>
        <w:gridCol w:w="2182"/>
      </w:tblGrid>
      <w:tr>
        <w:trPr>
          <w:tblCellSpacing w:w="0" w:type="dxa"/>
          <w:trHeight w:val="241"/>
        </w:trPr>
        <w:tc>
          <w:tcPr>
            <w:tcW w:w="3500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01.0101.01.031.0001 1,022</w:t>
            </w:r>
            <w:r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20"/>
              </w:rPr>
              <w:t xml:space="preserve">–</w:t>
            </w:r>
            <w:r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20"/>
              </w:rPr>
              <w:t xml:space="preserve">4490</w:t>
            </w:r>
            <w:r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20"/>
              </w:rPr>
              <w:t xml:space="preserve">51</w:t>
            </w:r>
            <w:r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20"/>
              </w:rPr>
              <w:t xml:space="preserve">00</w:t>
            </w:r>
            <w:r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20"/>
              </w:rPr>
              <w:t xml:space="preserve">00</w:t>
            </w:r>
            <w:r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18"/>
                <w:szCs w:val="20"/>
              </w:rPr>
              <w:t xml:space="preserve"> – </w:t>
            </w:r>
            <w:r>
              <w:rPr>
                <w:rFonts w:ascii="Times New Roman" w:hAnsi="Times New Roman"/>
                <w:sz w:val="18"/>
                <w:szCs w:val="20"/>
              </w:rPr>
              <w:t xml:space="preserve">FR</w:t>
            </w:r>
            <w:r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20"/>
              </w:rPr>
              <w:t xml:space="preserve">0500</w:t>
            </w:r>
            <w:r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20"/>
              </w:rPr>
              <w:t xml:space="preserve">–</w:t>
            </w:r>
            <w:r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20"/>
              </w:rPr>
              <w:t xml:space="preserve">Recursos</w:t>
            </w:r>
            <w:r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20"/>
              </w:rPr>
              <w:t xml:space="preserve">não</w:t>
            </w:r>
            <w:r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20"/>
              </w:rPr>
              <w:t xml:space="preserve">Vinculados</w:t>
            </w:r>
            <w:r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20"/>
              </w:rPr>
              <w:t xml:space="preserve">de</w:t>
            </w:r>
            <w:r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20"/>
              </w:rPr>
              <w:t xml:space="preserve">Impostos –Melhorias</w:t>
            </w:r>
            <w:r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20"/>
              </w:rPr>
              <w:t xml:space="preserve">no</w:t>
            </w:r>
            <w:r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20"/>
              </w:rPr>
              <w:t xml:space="preserve">Prédio</w:t>
            </w:r>
            <w:r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20"/>
              </w:rPr>
              <w:t xml:space="preserve">da</w:t>
            </w:r>
            <w:r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20"/>
              </w:rPr>
              <w:t xml:space="preserve">Câmara</w:t>
            </w:r>
            <w:r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20"/>
              </w:rPr>
              <w:t xml:space="preserve">Municipal</w:t>
            </w:r>
            <w:r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20"/>
              </w:rPr>
              <w:t xml:space="preserve">–</w:t>
            </w:r>
            <w:r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20"/>
              </w:rPr>
              <w:t xml:space="preserve">OBRAS</w:t>
            </w:r>
            <w:r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20"/>
              </w:rPr>
              <w:t xml:space="preserve">E</w:t>
            </w:r>
            <w:r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20"/>
              </w:rPr>
              <w:t xml:space="preserve">INSTALAÇÕES</w:t>
            </w:r>
            <w:r>
              <w:rPr>
                <w:sz w:val="18"/>
              </w:rPr>
            </w:r>
          </w:p>
        </w:tc>
        <w:tc>
          <w:tcPr>
            <w:tcW w:w="350" w:type="pct"/>
            <w:vAlign w:val="center"/>
            <w:textDirection w:val="lrTb"/>
            <w:noWrap w:val="false"/>
          </w:tcPr>
          <w:p>
            <w:pPr>
              <w:jc w:val="center"/>
              <w:keepNext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R$</w:t>
            </w:r>
            <w:r>
              <w:rPr>
                <w:sz w:val="18"/>
              </w:rPr>
            </w:r>
          </w:p>
        </w:tc>
        <w:tc>
          <w:tcPr>
            <w:tcW w:w="1150" w:type="pct"/>
            <w:vAlign w:val="center"/>
            <w:textDirection w:val="lrTb"/>
            <w:noWrap w:val="false"/>
          </w:tcPr>
          <w:p>
            <w:pPr>
              <w:jc w:val="right"/>
              <w:keepNext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400.000</w:t>
            </w:r>
            <w:r>
              <w:rPr>
                <w:rFonts w:ascii="Times New Roman" w:hAnsi="Times New Roman"/>
                <w:sz w:val="18"/>
                <w:szCs w:val="20"/>
              </w:rPr>
              <w:t xml:space="preserve">,00</w:t>
            </w:r>
            <w:r>
              <w:rPr>
                <w:sz w:val="18"/>
              </w:rPr>
            </w:r>
          </w:p>
        </w:tc>
      </w:tr>
      <w:tr>
        <w:trPr>
          <w:tblCellSpacing w:w="0" w:type="dxa"/>
        </w:trPr>
        <w:tc>
          <w:tcPr>
            <w:tcW w:w="3500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02.0202.04.122.0002.2,096 - 3390 14 00 00 000 - FR 0500 - Recursos não Vinculados de Impostos - Manutenção das Assessorias do Gabinete - DIÁRIAS - CIVIL</w:t>
            </w:r>
            <w:r>
              <w:rPr>
                <w:sz w:val="18"/>
              </w:rPr>
            </w:r>
          </w:p>
        </w:tc>
        <w:tc>
          <w:tcPr>
            <w:tcW w:w="350" w:type="pct"/>
            <w:vAlign w:val="center"/>
            <w:textDirection w:val="lrTb"/>
            <w:noWrap w:val="false"/>
          </w:tcPr>
          <w:p>
            <w:pPr>
              <w:jc w:val="center"/>
              <w:keepNext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R$</w:t>
            </w:r>
            <w:r>
              <w:rPr>
                <w:sz w:val="18"/>
              </w:rPr>
            </w:r>
          </w:p>
        </w:tc>
        <w:tc>
          <w:tcPr>
            <w:tcW w:w="1150" w:type="pct"/>
            <w:vAlign w:val="center"/>
            <w:textDirection w:val="lrTb"/>
            <w:noWrap w:val="false"/>
          </w:tcPr>
          <w:p>
            <w:pPr>
              <w:jc w:val="right"/>
              <w:keepNext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1.750,00</w:t>
            </w:r>
            <w:r>
              <w:rPr>
                <w:sz w:val="18"/>
              </w:rPr>
            </w:r>
          </w:p>
        </w:tc>
      </w:tr>
      <w:tr>
        <w:trPr>
          <w:tblCellSpacing w:w="0" w:type="dxa"/>
        </w:trPr>
        <w:tc>
          <w:tcPr>
            <w:tcW w:w="3500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02.0202.04.122.0002.2,096 - 3390 33 00 00 000 - FR 0500 - Recursos não Vinculados de Impostos - Manutenção das Assessorias do Gabinete - PASSAGENS E DESPESAS COM LOCOMOÇÃO</w:t>
            </w:r>
            <w:r>
              <w:rPr>
                <w:sz w:val="18"/>
              </w:rPr>
            </w:r>
          </w:p>
        </w:tc>
        <w:tc>
          <w:tcPr>
            <w:tcW w:w="350" w:type="pct"/>
            <w:vAlign w:val="center"/>
            <w:textDirection w:val="lrTb"/>
            <w:noWrap w:val="false"/>
          </w:tcPr>
          <w:p>
            <w:pPr>
              <w:jc w:val="center"/>
              <w:keepNext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R$</w:t>
            </w:r>
            <w:r>
              <w:rPr>
                <w:sz w:val="18"/>
              </w:rPr>
            </w:r>
          </w:p>
        </w:tc>
        <w:tc>
          <w:tcPr>
            <w:tcW w:w="1150" w:type="pct"/>
            <w:vAlign w:val="center"/>
            <w:textDirection w:val="lrTb"/>
            <w:noWrap w:val="false"/>
          </w:tcPr>
          <w:p>
            <w:pPr>
              <w:jc w:val="right"/>
              <w:keepNext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5.000,00</w:t>
            </w:r>
            <w:r>
              <w:rPr>
                <w:sz w:val="18"/>
              </w:rPr>
            </w:r>
          </w:p>
        </w:tc>
      </w:tr>
      <w:tr>
        <w:trPr>
          <w:tblCellSpacing w:w="0" w:type="dxa"/>
        </w:trPr>
        <w:tc>
          <w:tcPr>
            <w:tcW w:w="3500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02.0204.08.243.0002.2,022 - 3390 30 00 00 000 - FR 0500 - Recursos não Vinculados de Impostos - Manutenção do Conselho Tutelar - MATERIAL DE CONSUMO</w:t>
            </w:r>
            <w:r>
              <w:rPr>
                <w:sz w:val="18"/>
              </w:rPr>
            </w:r>
          </w:p>
        </w:tc>
        <w:tc>
          <w:tcPr>
            <w:tcW w:w="350" w:type="pct"/>
            <w:vAlign w:val="center"/>
            <w:textDirection w:val="lrTb"/>
            <w:noWrap w:val="false"/>
          </w:tcPr>
          <w:p>
            <w:pPr>
              <w:jc w:val="center"/>
              <w:keepNext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R$</w:t>
            </w:r>
            <w:r>
              <w:rPr>
                <w:sz w:val="18"/>
              </w:rPr>
            </w:r>
          </w:p>
        </w:tc>
        <w:tc>
          <w:tcPr>
            <w:tcW w:w="1150" w:type="pct"/>
            <w:vAlign w:val="center"/>
            <w:textDirection w:val="lrTb"/>
            <w:noWrap w:val="false"/>
          </w:tcPr>
          <w:p>
            <w:pPr>
              <w:jc w:val="right"/>
              <w:keepNext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6.000,00</w:t>
            </w:r>
            <w:r>
              <w:rPr>
                <w:sz w:val="18"/>
              </w:rPr>
            </w:r>
          </w:p>
        </w:tc>
      </w:tr>
      <w:tr>
        <w:trPr>
          <w:tblCellSpacing w:w="0" w:type="dxa"/>
        </w:trPr>
        <w:tc>
          <w:tcPr>
            <w:tcW w:w="3500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04.0401.04.123.0002.2,005 - 3190 04 00 00 000 - FR 0500 - Recursos não Vinculados de Impostos - Manutenção das Atividades da Secretaria da Fazenda - CONTRATAÇÃO POR TEMPO DETERMINADO</w:t>
            </w:r>
            <w:r>
              <w:rPr>
                <w:sz w:val="18"/>
              </w:rPr>
            </w:r>
          </w:p>
        </w:tc>
        <w:tc>
          <w:tcPr>
            <w:tcW w:w="350" w:type="pct"/>
            <w:vAlign w:val="center"/>
            <w:textDirection w:val="lrTb"/>
            <w:noWrap w:val="false"/>
          </w:tcPr>
          <w:p>
            <w:pPr>
              <w:jc w:val="center"/>
              <w:keepNext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R$</w:t>
            </w:r>
            <w:r>
              <w:rPr>
                <w:sz w:val="18"/>
              </w:rPr>
            </w:r>
          </w:p>
        </w:tc>
        <w:tc>
          <w:tcPr>
            <w:tcW w:w="1150" w:type="pct"/>
            <w:vAlign w:val="center"/>
            <w:textDirection w:val="lrTb"/>
            <w:noWrap w:val="false"/>
          </w:tcPr>
          <w:p>
            <w:pPr>
              <w:jc w:val="right"/>
              <w:keepNext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66.000,00</w:t>
            </w:r>
            <w:r>
              <w:rPr>
                <w:sz w:val="18"/>
              </w:rPr>
            </w:r>
          </w:p>
        </w:tc>
      </w:tr>
      <w:tr>
        <w:trPr>
          <w:tblCellSpacing w:w="0" w:type="dxa"/>
        </w:trPr>
        <w:tc>
          <w:tcPr>
            <w:tcW w:w="3500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04.0402.04.129.0002.2,007 - 3390 35 00 00 000 - FR 0500 - Recursos não Vinculados de Impostos - Manutenção das Atividades da Administração Tributária - SERVICOS DE CONSULTORIA</w:t>
            </w:r>
            <w:r>
              <w:rPr>
                <w:sz w:val="18"/>
              </w:rPr>
            </w:r>
          </w:p>
        </w:tc>
        <w:tc>
          <w:tcPr>
            <w:tcW w:w="350" w:type="pct"/>
            <w:vAlign w:val="center"/>
            <w:textDirection w:val="lrTb"/>
            <w:noWrap w:val="false"/>
          </w:tcPr>
          <w:p>
            <w:pPr>
              <w:jc w:val="center"/>
              <w:keepNext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R$</w:t>
            </w:r>
            <w:r>
              <w:rPr>
                <w:sz w:val="18"/>
              </w:rPr>
            </w:r>
          </w:p>
        </w:tc>
        <w:tc>
          <w:tcPr>
            <w:tcW w:w="1150" w:type="pct"/>
            <w:vAlign w:val="center"/>
            <w:textDirection w:val="lrTb"/>
            <w:noWrap w:val="false"/>
          </w:tcPr>
          <w:p>
            <w:pPr>
              <w:jc w:val="right"/>
              <w:keepNext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100.000,00</w:t>
            </w:r>
            <w:r>
              <w:rPr>
                <w:sz w:val="18"/>
              </w:rPr>
            </w:r>
          </w:p>
        </w:tc>
      </w:tr>
      <w:tr>
        <w:trPr>
          <w:tblCellSpacing w:w="0" w:type="dxa"/>
        </w:trPr>
        <w:tc>
          <w:tcPr>
            <w:tcW w:w="3500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05.0501.12.</w:t>
            </w:r>
            <w:r>
              <w:rPr>
                <w:rFonts w:ascii="Times New Roman" w:hAnsi="Times New Roman"/>
                <w:sz w:val="18"/>
                <w:szCs w:val="20"/>
              </w:rPr>
              <w:t xml:space="preserve">122.0002.2,101 - 3390 30 00 00 000 - FR 0500 - Recursos não Vinculados de Impostos - CO 1001 - Identificação das Despesas com Manutenção e Desenvolvimento do Ensino - Manutenção das Atividades Administrativas da Secretaria de Educação - MATERIAL DE CONSUMO</w:t>
            </w:r>
            <w:r>
              <w:rPr>
                <w:sz w:val="18"/>
              </w:rPr>
            </w:r>
          </w:p>
        </w:tc>
        <w:tc>
          <w:tcPr>
            <w:tcW w:w="350" w:type="pct"/>
            <w:vAlign w:val="center"/>
            <w:textDirection w:val="lrTb"/>
            <w:noWrap w:val="false"/>
          </w:tcPr>
          <w:p>
            <w:pPr>
              <w:jc w:val="center"/>
              <w:keepNext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R$</w:t>
            </w:r>
            <w:r>
              <w:rPr>
                <w:sz w:val="18"/>
              </w:rPr>
            </w:r>
          </w:p>
        </w:tc>
        <w:tc>
          <w:tcPr>
            <w:tcW w:w="1150" w:type="pct"/>
            <w:vAlign w:val="center"/>
            <w:textDirection w:val="lrTb"/>
            <w:noWrap w:val="false"/>
          </w:tcPr>
          <w:p>
            <w:pPr>
              <w:jc w:val="right"/>
              <w:keepNext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4.400,00</w:t>
            </w:r>
            <w:r>
              <w:rPr>
                <w:sz w:val="18"/>
              </w:rPr>
            </w:r>
          </w:p>
        </w:tc>
      </w:tr>
      <w:tr>
        <w:trPr>
          <w:tblCellSpacing w:w="0" w:type="dxa"/>
        </w:trPr>
        <w:tc>
          <w:tcPr>
            <w:tcW w:w="3500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05.0501.12.</w:t>
            </w:r>
            <w:r>
              <w:rPr>
                <w:rFonts w:ascii="Times New Roman" w:hAnsi="Times New Roman"/>
                <w:sz w:val="18"/>
                <w:szCs w:val="20"/>
              </w:rPr>
              <w:t xml:space="preserve">361.0005.1,034 - 4490 52 00 00 000 - FR 0500 - Recursos não Vinculados de Impostos - CO 1001 - Identificação das Despesas com Manutenção e Desenvolvimento do Ensino - Informatização e Interligação das Escolas Municipais - EQUIPAMENTOS E MATERIAL PERMANENTE</w:t>
            </w:r>
            <w:r>
              <w:rPr>
                <w:sz w:val="18"/>
              </w:rPr>
            </w:r>
          </w:p>
        </w:tc>
        <w:tc>
          <w:tcPr>
            <w:tcW w:w="350" w:type="pct"/>
            <w:vAlign w:val="center"/>
            <w:textDirection w:val="lrTb"/>
            <w:noWrap w:val="false"/>
          </w:tcPr>
          <w:p>
            <w:pPr>
              <w:jc w:val="center"/>
              <w:keepNext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R$</w:t>
            </w:r>
            <w:r>
              <w:rPr>
                <w:sz w:val="18"/>
              </w:rPr>
            </w:r>
          </w:p>
        </w:tc>
        <w:tc>
          <w:tcPr>
            <w:tcW w:w="1150" w:type="pct"/>
            <w:vAlign w:val="center"/>
            <w:textDirection w:val="lrTb"/>
            <w:noWrap w:val="false"/>
          </w:tcPr>
          <w:p>
            <w:pPr>
              <w:jc w:val="right"/>
              <w:keepNext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10.000,00</w:t>
            </w:r>
            <w:r>
              <w:rPr>
                <w:sz w:val="18"/>
              </w:rPr>
            </w:r>
          </w:p>
        </w:tc>
      </w:tr>
      <w:tr>
        <w:trPr>
          <w:tblCellSpacing w:w="0" w:type="dxa"/>
        </w:trPr>
        <w:tc>
          <w:tcPr>
            <w:tcW w:w="3500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06.0601.17.512.0025.1,039 - 3390 30 00 00 000 - FR 0500 - Recursos não Vinculados de Impostos - Obras de Esgoto e Saneamento - MATERIAL DE CONSUMO</w:t>
            </w:r>
            <w:r>
              <w:rPr>
                <w:sz w:val="18"/>
              </w:rPr>
            </w:r>
          </w:p>
        </w:tc>
        <w:tc>
          <w:tcPr>
            <w:tcW w:w="350" w:type="pct"/>
            <w:vAlign w:val="center"/>
            <w:textDirection w:val="lrTb"/>
            <w:noWrap w:val="false"/>
          </w:tcPr>
          <w:p>
            <w:pPr>
              <w:jc w:val="center"/>
              <w:keepNext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R$</w:t>
            </w:r>
            <w:r>
              <w:rPr>
                <w:sz w:val="18"/>
              </w:rPr>
            </w:r>
          </w:p>
        </w:tc>
        <w:tc>
          <w:tcPr>
            <w:tcW w:w="1150" w:type="pct"/>
            <w:vAlign w:val="center"/>
            <w:textDirection w:val="lrTb"/>
            <w:noWrap w:val="false"/>
          </w:tcPr>
          <w:p>
            <w:pPr>
              <w:jc w:val="right"/>
              <w:keepNext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3.300,00</w:t>
            </w:r>
            <w:r>
              <w:rPr>
                <w:sz w:val="18"/>
              </w:rPr>
            </w:r>
          </w:p>
        </w:tc>
      </w:tr>
      <w:tr>
        <w:trPr>
          <w:tblCellSpacing w:w="0" w:type="dxa"/>
        </w:trPr>
        <w:tc>
          <w:tcPr>
            <w:tcW w:w="3500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06.0602.26.782.0016.2,021 - 3390 30 00 00 000 - FR 0500 - Recursos não Vinculados de Impostos - Manutenção, Conservação e Sinalização de Estradas Municipais - MATERIAL DE CONSUMO</w:t>
            </w:r>
            <w:r>
              <w:rPr>
                <w:sz w:val="18"/>
              </w:rPr>
            </w:r>
          </w:p>
        </w:tc>
        <w:tc>
          <w:tcPr>
            <w:tcW w:w="350" w:type="pct"/>
            <w:vAlign w:val="center"/>
            <w:textDirection w:val="lrTb"/>
            <w:noWrap w:val="false"/>
          </w:tcPr>
          <w:p>
            <w:pPr>
              <w:jc w:val="center"/>
              <w:keepNext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R$</w:t>
            </w:r>
            <w:r>
              <w:rPr>
                <w:sz w:val="18"/>
              </w:rPr>
            </w:r>
          </w:p>
        </w:tc>
        <w:tc>
          <w:tcPr>
            <w:tcW w:w="1150" w:type="pct"/>
            <w:vAlign w:val="center"/>
            <w:textDirection w:val="lrTb"/>
            <w:noWrap w:val="false"/>
          </w:tcPr>
          <w:p>
            <w:pPr>
              <w:jc w:val="right"/>
              <w:keepNext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56.500,00</w:t>
            </w:r>
            <w:r>
              <w:rPr>
                <w:sz w:val="18"/>
              </w:rPr>
            </w:r>
          </w:p>
        </w:tc>
      </w:tr>
      <w:tr>
        <w:trPr>
          <w:tblCellSpacing w:w="0" w:type="dxa"/>
        </w:trPr>
        <w:tc>
          <w:tcPr>
            <w:tcW w:w="3500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06.0602.26.782.0016.2,021 - 3390 30 00 00 000 - FR 0500 - Recursos não Vinculados de Impostos - Manutenção, Conservação e Sinalização de Estradas Municipais - MATERIAL DE CONSUMO</w:t>
            </w:r>
            <w:r>
              <w:rPr>
                <w:sz w:val="18"/>
              </w:rPr>
            </w:r>
          </w:p>
        </w:tc>
        <w:tc>
          <w:tcPr>
            <w:tcW w:w="350" w:type="pct"/>
            <w:vAlign w:val="center"/>
            <w:textDirection w:val="lrTb"/>
            <w:noWrap w:val="false"/>
          </w:tcPr>
          <w:p>
            <w:pPr>
              <w:jc w:val="center"/>
              <w:keepNext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R$</w:t>
            </w:r>
            <w:r>
              <w:rPr>
                <w:sz w:val="18"/>
              </w:rPr>
            </w:r>
          </w:p>
        </w:tc>
        <w:tc>
          <w:tcPr>
            <w:tcW w:w="1150" w:type="pct"/>
            <w:vAlign w:val="center"/>
            <w:textDirection w:val="lrTb"/>
            <w:noWrap w:val="false"/>
          </w:tcPr>
          <w:p>
            <w:pPr>
              <w:jc w:val="right"/>
              <w:keepNext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77.000,00</w:t>
            </w:r>
            <w:r>
              <w:rPr>
                <w:sz w:val="18"/>
              </w:rPr>
            </w:r>
          </w:p>
        </w:tc>
      </w:tr>
      <w:tr>
        <w:trPr>
          <w:tblCellSpacing w:w="0" w:type="dxa"/>
        </w:trPr>
        <w:tc>
          <w:tcPr>
            <w:tcW w:w="3500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06.0605.16.482.0015.1,017 - 3390 39 00 00 000 - FR 0759 - Recursos Vinculados a Fundos - Sub Vínculo 75907 - APORTE - FMH - FUNDO MUN. HABITAÇÃO - Construção, Reforma e Melhorias de Moradias na Zona Urbana - OUTROS SERVIÇOS DE TERCEIROS - PESSOA JURÍDICA</w:t>
            </w:r>
            <w:r>
              <w:rPr>
                <w:sz w:val="18"/>
              </w:rPr>
            </w:r>
          </w:p>
        </w:tc>
        <w:tc>
          <w:tcPr>
            <w:tcW w:w="350" w:type="pct"/>
            <w:vAlign w:val="center"/>
            <w:textDirection w:val="lrTb"/>
            <w:noWrap w:val="false"/>
          </w:tcPr>
          <w:p>
            <w:pPr>
              <w:jc w:val="center"/>
              <w:keepNext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R$</w:t>
            </w:r>
            <w:r>
              <w:rPr>
                <w:sz w:val="18"/>
              </w:rPr>
            </w:r>
          </w:p>
        </w:tc>
        <w:tc>
          <w:tcPr>
            <w:tcW w:w="1150" w:type="pct"/>
            <w:vAlign w:val="center"/>
            <w:textDirection w:val="lrTb"/>
            <w:noWrap w:val="false"/>
          </w:tcPr>
          <w:p>
            <w:pPr>
              <w:jc w:val="right"/>
              <w:keepNext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6.000,00</w:t>
            </w:r>
            <w:r>
              <w:rPr>
                <w:sz w:val="18"/>
              </w:rPr>
            </w:r>
          </w:p>
        </w:tc>
      </w:tr>
      <w:tr>
        <w:trPr>
          <w:tblCellSpacing w:w="0" w:type="dxa"/>
        </w:trPr>
        <w:tc>
          <w:tcPr>
            <w:tcW w:w="3500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07.0701.15.452.0012.2,089 - 3390 30 00 00 000 - FR 0500 - Recursos não Vinculados de Impostos - Manutenção de Bens e Espaços Públicos - MATERIAL DE CONSUMO</w:t>
            </w:r>
            <w:r>
              <w:rPr>
                <w:sz w:val="18"/>
              </w:rPr>
            </w:r>
          </w:p>
        </w:tc>
        <w:tc>
          <w:tcPr>
            <w:tcW w:w="350" w:type="pct"/>
            <w:vAlign w:val="center"/>
            <w:textDirection w:val="lrTb"/>
            <w:noWrap w:val="false"/>
          </w:tcPr>
          <w:p>
            <w:pPr>
              <w:jc w:val="center"/>
              <w:keepNext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R$</w:t>
            </w:r>
            <w:r>
              <w:rPr>
                <w:sz w:val="18"/>
              </w:rPr>
            </w:r>
          </w:p>
        </w:tc>
        <w:tc>
          <w:tcPr>
            <w:tcW w:w="1150" w:type="pct"/>
            <w:vAlign w:val="center"/>
            <w:textDirection w:val="lrTb"/>
            <w:noWrap w:val="false"/>
          </w:tcPr>
          <w:p>
            <w:pPr>
              <w:jc w:val="right"/>
              <w:keepNext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60.000,00</w:t>
            </w:r>
            <w:r>
              <w:rPr>
                <w:sz w:val="18"/>
              </w:rPr>
            </w:r>
          </w:p>
        </w:tc>
      </w:tr>
      <w:tr>
        <w:trPr>
          <w:tblCellSpacing w:w="0" w:type="dxa"/>
        </w:trPr>
        <w:tc>
          <w:tcPr>
            <w:tcW w:w="3500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07.0701.15.452.0031.2,092 - 3390 30 00 00 000 - FR 0500 - Recursos não Vinculados de Impostos - Manutenção dos Serviços de Limpeza Urbana - MATERIAL DE CONSUMO</w:t>
            </w:r>
            <w:r>
              <w:rPr>
                <w:sz w:val="18"/>
              </w:rPr>
            </w:r>
          </w:p>
        </w:tc>
        <w:tc>
          <w:tcPr>
            <w:tcW w:w="350" w:type="pct"/>
            <w:vAlign w:val="center"/>
            <w:textDirection w:val="lrTb"/>
            <w:noWrap w:val="false"/>
          </w:tcPr>
          <w:p>
            <w:pPr>
              <w:jc w:val="center"/>
              <w:keepNext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R$</w:t>
            </w:r>
            <w:r>
              <w:rPr>
                <w:sz w:val="18"/>
              </w:rPr>
            </w:r>
          </w:p>
        </w:tc>
        <w:tc>
          <w:tcPr>
            <w:tcW w:w="1150" w:type="pct"/>
            <w:vAlign w:val="center"/>
            <w:textDirection w:val="lrTb"/>
            <w:noWrap w:val="false"/>
          </w:tcPr>
          <w:p>
            <w:pPr>
              <w:jc w:val="right"/>
              <w:keepNext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120.000,00</w:t>
            </w:r>
            <w:r>
              <w:rPr>
                <w:sz w:val="18"/>
              </w:rPr>
            </w:r>
          </w:p>
        </w:tc>
      </w:tr>
      <w:tr>
        <w:trPr>
          <w:tblCellSpacing w:w="0" w:type="dxa"/>
        </w:trPr>
        <w:tc>
          <w:tcPr>
            <w:tcW w:w="3500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07.0701.15.452.0031.2,092 - 3390 37 00 00 000 - FR 0500 - Recursos não Vinculados de Impostos - Manutenção dos Serviços de Limpeza Urbana - LOCAÇÃO DE MÃO-DE-OBRA</w:t>
            </w:r>
            <w:r>
              <w:rPr>
                <w:sz w:val="18"/>
              </w:rPr>
            </w:r>
          </w:p>
        </w:tc>
        <w:tc>
          <w:tcPr>
            <w:tcW w:w="350" w:type="pct"/>
            <w:vAlign w:val="center"/>
            <w:textDirection w:val="lrTb"/>
            <w:noWrap w:val="false"/>
          </w:tcPr>
          <w:p>
            <w:pPr>
              <w:jc w:val="center"/>
              <w:keepNext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R$</w:t>
            </w:r>
            <w:r>
              <w:rPr>
                <w:sz w:val="18"/>
              </w:rPr>
            </w:r>
          </w:p>
        </w:tc>
        <w:tc>
          <w:tcPr>
            <w:tcW w:w="1150" w:type="pct"/>
            <w:vAlign w:val="center"/>
            <w:textDirection w:val="lrTb"/>
            <w:noWrap w:val="false"/>
          </w:tcPr>
          <w:p>
            <w:pPr>
              <w:jc w:val="right"/>
              <w:keepNext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76.038,95</w:t>
            </w:r>
            <w:r>
              <w:rPr>
                <w:sz w:val="18"/>
              </w:rPr>
            </w:r>
          </w:p>
        </w:tc>
      </w:tr>
      <w:tr>
        <w:trPr>
          <w:tblCellSpacing w:w="0" w:type="dxa"/>
        </w:trPr>
        <w:tc>
          <w:tcPr>
            <w:tcW w:w="3500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07.0701.20.606.0011.2,102 - 3390 30 00 00 000 - FR 0500 - Recursos não Vinculados de Impostos - Manutenção do Sistema da Patrulha Agrícola - MATERIAL DE CONSUMO</w:t>
            </w:r>
            <w:r>
              <w:rPr>
                <w:sz w:val="18"/>
              </w:rPr>
            </w:r>
          </w:p>
        </w:tc>
        <w:tc>
          <w:tcPr>
            <w:tcW w:w="350" w:type="pct"/>
            <w:vAlign w:val="center"/>
            <w:textDirection w:val="lrTb"/>
            <w:noWrap w:val="false"/>
          </w:tcPr>
          <w:p>
            <w:pPr>
              <w:jc w:val="center"/>
              <w:keepNext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R$</w:t>
            </w:r>
            <w:r>
              <w:rPr>
                <w:sz w:val="18"/>
              </w:rPr>
            </w:r>
          </w:p>
        </w:tc>
        <w:tc>
          <w:tcPr>
            <w:tcW w:w="1150" w:type="pct"/>
            <w:vAlign w:val="center"/>
            <w:textDirection w:val="lrTb"/>
            <w:noWrap w:val="false"/>
          </w:tcPr>
          <w:p>
            <w:pPr>
              <w:jc w:val="right"/>
              <w:keepNext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15.000,00</w:t>
            </w:r>
            <w:r>
              <w:rPr>
                <w:sz w:val="18"/>
              </w:rPr>
            </w:r>
          </w:p>
        </w:tc>
      </w:tr>
      <w:tr>
        <w:trPr>
          <w:tblCellSpacing w:w="0" w:type="dxa"/>
        </w:trPr>
        <w:tc>
          <w:tcPr>
            <w:tcW w:w="3500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07.0701.20.606.0011.2,102 - 3390 39 00 00 000 - FR 0500 - Recursos não Vinculados de Impostos - Manutenção do Sistema da Patrulha Agrícola - OUTROS SERVIÇOS DE TERCEIROS - PESSOA JURÍDICA</w:t>
            </w:r>
            <w:r>
              <w:rPr>
                <w:sz w:val="18"/>
              </w:rPr>
            </w:r>
          </w:p>
        </w:tc>
        <w:tc>
          <w:tcPr>
            <w:tcW w:w="350" w:type="pct"/>
            <w:vAlign w:val="center"/>
            <w:textDirection w:val="lrTb"/>
            <w:noWrap w:val="false"/>
          </w:tcPr>
          <w:p>
            <w:pPr>
              <w:jc w:val="center"/>
              <w:keepNext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R$</w:t>
            </w:r>
            <w:r>
              <w:rPr>
                <w:sz w:val="18"/>
              </w:rPr>
            </w:r>
          </w:p>
        </w:tc>
        <w:tc>
          <w:tcPr>
            <w:tcW w:w="1150" w:type="pct"/>
            <w:vAlign w:val="center"/>
            <w:textDirection w:val="lrTb"/>
            <w:noWrap w:val="false"/>
          </w:tcPr>
          <w:p>
            <w:pPr>
              <w:jc w:val="right"/>
              <w:keepNext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38.299,80</w:t>
            </w:r>
            <w:r>
              <w:rPr>
                <w:sz w:val="18"/>
              </w:rPr>
            </w:r>
          </w:p>
        </w:tc>
      </w:tr>
      <w:tr>
        <w:trPr>
          <w:tblCellSpacing w:w="0" w:type="dxa"/>
        </w:trPr>
        <w:tc>
          <w:tcPr>
            <w:tcW w:w="3500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18"/>
                <w:szCs w:val="20"/>
              </w:rPr>
              <w:t xml:space="preserve">9.0901.10.301.0014.2,030 - 3390 39 00 00 000 - FR 0500 - Recursos não Vinculados de Impostos - CO 1002 - Identificação das Despesas com Ações e Serviços Públicos de Saúde - Gestão da Atenção Primária à Saúde - OUTROS SERVIÇOS DE TERCEIROS - PESSOA JURÍDICA</w:t>
            </w:r>
            <w:r>
              <w:rPr>
                <w:sz w:val="18"/>
              </w:rPr>
            </w:r>
          </w:p>
        </w:tc>
        <w:tc>
          <w:tcPr>
            <w:tcW w:w="350" w:type="pct"/>
            <w:vAlign w:val="center"/>
            <w:textDirection w:val="lrTb"/>
            <w:noWrap w:val="false"/>
          </w:tcPr>
          <w:p>
            <w:pPr>
              <w:jc w:val="center"/>
              <w:keepNext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R$</w:t>
            </w:r>
            <w:r>
              <w:rPr>
                <w:sz w:val="18"/>
              </w:rPr>
            </w:r>
          </w:p>
        </w:tc>
        <w:tc>
          <w:tcPr>
            <w:tcW w:w="1150" w:type="pct"/>
            <w:vAlign w:val="center"/>
            <w:textDirection w:val="lrTb"/>
            <w:noWrap w:val="false"/>
          </w:tcPr>
          <w:p>
            <w:pPr>
              <w:jc w:val="right"/>
              <w:keepNext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10.000,00</w:t>
            </w:r>
            <w:r>
              <w:rPr>
                <w:sz w:val="18"/>
              </w:rPr>
            </w:r>
          </w:p>
        </w:tc>
      </w:tr>
      <w:tr>
        <w:trPr>
          <w:tblCellSpacing w:w="0" w:type="dxa"/>
        </w:trPr>
        <w:tc>
          <w:tcPr>
            <w:tcW w:w="3500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09.0901.10.304.0006.0,029 - 3350 41 00 00 000 - FR 0500 - Recursos não Vinculados de Impostos - CO 1002 - Identificação das Despesas com Ações e Serviços Públicos de Saúde - Apoio Financeiro as Entidades sem Fins Lucrativos e Causas Animais - CONTRIBUICOES</w:t>
            </w:r>
            <w:r>
              <w:rPr>
                <w:sz w:val="18"/>
              </w:rPr>
            </w:r>
          </w:p>
        </w:tc>
        <w:tc>
          <w:tcPr>
            <w:tcW w:w="350" w:type="pct"/>
            <w:vAlign w:val="center"/>
            <w:textDirection w:val="lrTb"/>
            <w:noWrap w:val="false"/>
          </w:tcPr>
          <w:p>
            <w:pPr>
              <w:jc w:val="center"/>
              <w:keepNext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R$</w:t>
            </w:r>
            <w:r>
              <w:rPr>
                <w:sz w:val="18"/>
              </w:rPr>
            </w:r>
          </w:p>
        </w:tc>
        <w:tc>
          <w:tcPr>
            <w:tcW w:w="1150" w:type="pct"/>
            <w:vAlign w:val="center"/>
            <w:textDirection w:val="lrTb"/>
            <w:noWrap w:val="false"/>
          </w:tcPr>
          <w:p>
            <w:pPr>
              <w:jc w:val="right"/>
              <w:keepNext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56.969,25</w:t>
            </w:r>
            <w:r>
              <w:rPr>
                <w:sz w:val="18"/>
              </w:rPr>
            </w:r>
          </w:p>
        </w:tc>
      </w:tr>
      <w:tr>
        <w:trPr>
          <w:tblCellSpacing w:w="0" w:type="dxa"/>
        </w:trPr>
        <w:tc>
          <w:tcPr>
            <w:tcW w:w="3500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 xml:space="preserve">Total</w:t>
            </w:r>
            <w:r>
              <w:rPr>
                <w:sz w:val="18"/>
              </w:rPr>
            </w:r>
          </w:p>
        </w:tc>
        <w:tc>
          <w:tcPr>
            <w:tcW w:w="350" w:type="pct"/>
            <w:vAlign w:val="center"/>
            <w:textDirection w:val="lrTb"/>
            <w:noWrap w:val="false"/>
          </w:tcPr>
          <w:p>
            <w:pPr>
              <w:jc w:val="center"/>
              <w:keepNext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 xml:space="preserve">R$</w:t>
            </w:r>
            <w:r>
              <w:rPr>
                <w:sz w:val="18"/>
              </w:rPr>
            </w:r>
          </w:p>
        </w:tc>
        <w:tc>
          <w:tcPr>
            <w:tcW w:w="1150" w:type="pct"/>
            <w:vAlign w:val="center"/>
            <w:textDirection w:val="lrTb"/>
            <w:noWrap w:val="false"/>
          </w:tcPr>
          <w:p>
            <w:pPr>
              <w:jc w:val="right"/>
              <w:keepNext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 xml:space="preserve">1.1</w:t>
            </w:r>
            <w:r>
              <w:rPr>
                <w:rFonts w:ascii="Times New Roman" w:hAnsi="Times New Roman"/>
                <w:b/>
                <w:sz w:val="18"/>
                <w:szCs w:val="20"/>
              </w:rPr>
              <w:t xml:space="preserve">12.258,00</w:t>
            </w:r>
            <w:r>
              <w:rPr>
                <w:sz w:val="18"/>
              </w:rPr>
            </w:r>
          </w:p>
        </w:tc>
      </w:tr>
    </w:tbl>
    <w:p>
      <w:pPr>
        <w:pStyle w:val="765"/>
        <w:ind w:firstLine="708"/>
        <w:rPr>
          <w:sz w:val="22"/>
        </w:rPr>
      </w:pPr>
      <w:r>
        <w:rPr>
          <w:sz w:val="18"/>
          <w:lang w:eastAsia="pt-BR"/>
        </w:rPr>
        <w:br/>
      </w:r>
      <w:r>
        <w:rPr>
          <w:sz w:val="18"/>
          <w:lang w:eastAsia="pt-BR"/>
        </w:rPr>
        <w:t xml:space="preserve"> </w:t>
      </w:r>
      <w:r>
        <w:rPr>
          <w:sz w:val="18"/>
          <w:lang w:eastAsia="pt-BR"/>
        </w:rPr>
        <w:tab/>
      </w:r>
      <w:r>
        <w:rPr>
          <w:b/>
          <w:bCs/>
          <w:sz w:val="22"/>
        </w:rPr>
        <w:t xml:space="preserve">Art. 3.º</w:t>
      </w:r>
      <w:r>
        <w:rPr>
          <w:sz w:val="22"/>
        </w:rPr>
        <w:t xml:space="preserve"> Altera o que couber as seguintes Leis Municipais: n.º 5.036/2021, de 10 de agosto de 2021; n.º 5.349/23, de 26 de setembro e n.º 5.384/23, de 19 de dezembro.</w:t>
      </w:r>
      <w:r>
        <w:rPr>
          <w:sz w:val="22"/>
        </w:rPr>
      </w:r>
    </w:p>
    <w:p>
      <w:pPr>
        <w:pStyle w:val="765"/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pStyle w:val="765"/>
        <w:ind w:firstLine="708"/>
        <w:rPr>
          <w:sz w:val="22"/>
        </w:rPr>
      </w:pPr>
      <w:r>
        <w:rPr>
          <w:b/>
          <w:bCs/>
          <w:sz w:val="22"/>
        </w:rPr>
        <w:t xml:space="preserve">Art. 4.º</w:t>
      </w:r>
      <w:r>
        <w:rPr>
          <w:sz w:val="22"/>
        </w:rPr>
        <w:t xml:space="preserve"> Este Decreto entra em vigor na data de sua publicação.</w:t>
      </w:r>
      <w:r>
        <w:rPr>
          <w:sz w:val="22"/>
        </w:rPr>
      </w:r>
    </w:p>
    <w:p>
      <w:pPr>
        <w:pStyle w:val="765"/>
        <w:ind w:firstLine="708"/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  <w:r>
        <w:rPr>
          <w:sz w:val="22"/>
        </w:rPr>
      </w:r>
    </w:p>
    <w:p>
      <w:pPr>
        <w:jc w:val="center"/>
        <w:rPr>
          <w:sz w:val="22"/>
          <w:highlight w:val="none"/>
        </w:rPr>
      </w:pPr>
      <w:r>
        <w:rPr>
          <w:rFonts w:ascii="Times New Roman" w:hAnsi="Times New Roman"/>
          <w:sz w:val="22"/>
        </w:rPr>
        <w:t xml:space="preserve">Santa Bárbara do Sul, RS, </w:t>
      </w:r>
      <w:r>
        <w:rPr>
          <w:rFonts w:ascii="Times New Roman" w:hAnsi="Times New Roman"/>
          <w:sz w:val="22"/>
        </w:rPr>
        <w:t xml:space="preserve">11</w:t>
      </w:r>
      <w:r>
        <w:rPr>
          <w:rFonts w:ascii="Times New Roman" w:hAnsi="Times New Roman"/>
          <w:sz w:val="22"/>
        </w:rPr>
        <w:t xml:space="preserve"> de novembro de 2024.</w:t>
      </w:r>
      <w:r>
        <w:rPr>
          <w:sz w:val="22"/>
        </w:rPr>
      </w:r>
      <w:r>
        <w:rPr>
          <w:rFonts w:ascii="Times New Roman" w:hAnsi="Times New Roman"/>
          <w:sz w:val="22"/>
        </w:rPr>
      </w:r>
      <w:r>
        <w:rPr>
          <w:sz w:val="22"/>
        </w:rPr>
      </w:r>
      <w:r>
        <w:rPr>
          <w:rFonts w:ascii="Times New Roman" w:hAnsi="Times New Roman"/>
          <w:sz w:val="22"/>
        </w:rPr>
      </w:r>
    </w:p>
    <w:p>
      <w:pPr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  <w:highlight w:val="none"/>
        </w:rPr>
      </w:r>
      <w:r>
        <w:rPr>
          <w:rFonts w:ascii="Times New Roman" w:hAnsi="Times New Roman"/>
          <w:sz w:val="22"/>
          <w:highlight w:val="none"/>
        </w:rPr>
      </w:r>
    </w:p>
    <w:p>
      <w:pPr>
        <w:ind w:left="283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Mário Roberto </w:t>
      </w:r>
      <w:r>
        <w:rPr>
          <w:rFonts w:ascii="Times New Roman" w:hAnsi="Times New Roman"/>
          <w:sz w:val="22"/>
        </w:rPr>
        <w:t xml:space="preserve">Utzig</w:t>
      </w:r>
      <w:r>
        <w:rPr>
          <w:rFonts w:ascii="Times New Roman" w:hAnsi="Times New Roman"/>
          <w:sz w:val="22"/>
        </w:rPr>
        <w:t xml:space="preserve"> Filho</w:t>
      </w:r>
      <w:r>
        <w:rPr>
          <w:sz w:val="22"/>
        </w:rPr>
      </w:r>
    </w:p>
    <w:p>
      <w:pPr>
        <w:ind w:left="283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Prefeito</w:t>
      </w:r>
      <w:r>
        <w:rPr>
          <w:sz w:val="22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276" w:right="992" w:bottom="793" w:left="1418" w:header="0" w:footer="737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4030504040204"/>
  </w:font>
  <w:font w:name="Wingdings">
    <w:panose1 w:val="05000000000000000000"/>
  </w:font>
  <w:font w:name="Liberation Sans">
    <w:panose1 w:val="020B0604020202020204"/>
  </w:font>
  <w:font w:name="Symbol">
    <w:panose1 w:val="05050102010706020507"/>
  </w:font>
  <w:font w:name="Calibri">
    <w:panose1 w:val="020F0502020204030204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6"/>
      <w:jc w:val="right"/>
      <w:rPr>
        <w:rFonts w:ascii="Times New Roman" w:hAnsi="Times New Roman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114300" distB="114300" distL="114935" distR="114935" simplePos="0" relativeHeight="250609663" behindDoc="1" locked="0" layoutInCell="1" allowOverlap="1">
              <wp:simplePos x="0" y="0"/>
              <wp:positionH relativeFrom="column">
                <wp:posOffset>183832</wp:posOffset>
              </wp:positionH>
              <wp:positionV relativeFrom="paragraph">
                <wp:posOffset>15311</wp:posOffset>
              </wp:positionV>
              <wp:extent cx="5391785" cy="714280"/>
              <wp:effectExtent l="6350" t="6350" r="6350" b="6350"/>
              <wp:wrapSquare wrapText="bothSides"/>
              <wp:docPr id="2" name="Imagem 2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hidden="0"/>
                      <pic:cNvPicPr/>
                      <pic:nvPr isPhoto="0" userDrawn="0"/>
                    </pic:nvPicPr>
                    <pic:blipFill>
                      <a:blip r:embed="rId1"/>
                      <a:srcRect l="-45" t="-843" r="-45" b="-843"/>
                      <a:stretch/>
                    </pic:blipFill>
                    <pic:spPr bwMode="auto">
                      <a:xfrm flipH="0" flipV="0">
                        <a:off x="0" y="0"/>
                        <a:ext cx="5391784" cy="71427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mso-wrap-distance-left:9.0pt;mso-wrap-distance-top:9.0pt;mso-wrap-distance-right:9.0pt;mso-wrap-distance-bottom:9.0pt;z-index:-250609663;o:allowoverlap:true;o:allowincell:true;mso-position-horizontal-relative:text;margin-left:14.5pt;mso-position-horizontal:absolute;mso-position-vertical-relative:text;margin-top:1.2pt;mso-position-vertical:absolute;width:424.5pt;height:56.2pt;" stroked="f">
              <v:path textboxrect="0,0,0,0"/>
              <v:imagedata r:id="rId1" o:title=""/>
            </v:shape>
          </w:pict>
        </mc:Fallback>
      </mc:AlternateContent>
    </w:r>
    <w:r/>
  </w:p>
  <w:p>
    <w:pPr>
      <w:pStyle w:val="776"/>
      <w:ind w:right="360"/>
      <w:jc w:val="center"/>
      <w:rPr>
        <w:rFonts w:ascii="Times New Roman" w:hAnsi="Times New Roman"/>
        <w:spacing w:val="8"/>
        <w:sz w:val="14"/>
      </w:rPr>
    </w:pPr>
    <w:r>
      <w:rPr>
        <w:rFonts w:ascii="Times New Roman" w:hAnsi="Times New Roman"/>
        <w:spacing w:val="8"/>
        <w:sz w:val="14"/>
      </w:rPr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6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4"/>
      <w:tabs>
        <w:tab w:val="clear" w:pos="4419" w:leader="none"/>
        <w:tab w:val="center" w:pos="4748" w:leader="none"/>
        <w:tab w:val="clear" w:pos="8838" w:leader="none"/>
      </w:tabs>
    </w:pPr>
    <w:r/>
    <w:r>
      <mc:AlternateContent>
        <mc:Choice Requires="wpg">
          <w:drawing>
            <wp:inline xmlns:wp="http://schemas.openxmlformats.org/drawingml/2006/wordprocessingDrawing" distT="0" distB="0" distL="0" distR="0">
              <wp:extent cx="5400040" cy="824325"/>
              <wp:effectExtent l="0" t="0" r="0" b="0"/>
              <wp:docPr id="1" name="image1.png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15903765" name="image1.png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 flipH="0" flipV="0">
                        <a:off x="0" y="0"/>
                        <a:ext cx="5400039" cy="824324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425.2pt;height:64.9pt;">
              <v:path textboxrect="0,0,0,0"/>
              <v:imagedata r:id="rId1" o:title=""/>
            </v:shape>
          </w:pict>
        </mc:Fallback>
      </mc:AlternateContent>
    </w:r>
    <w:r>
      <w:tab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4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pStyle w:val="956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5" w:default="1">
    <w:name w:val="Normal"/>
    <w:rPr>
      <w:rFonts w:ascii="Arial" w:hAnsi="Arial"/>
      <w:sz w:val="24"/>
      <w:szCs w:val="24"/>
    </w:rPr>
  </w:style>
  <w:style w:type="paragraph" w:styleId="726">
    <w:name w:val="Heading 1"/>
    <w:basedOn w:val="725"/>
    <w:next w:val="725"/>
    <w:link w:val="755"/>
    <w:uiPriority w:val="9"/>
    <w:qFormat/>
    <w:pPr>
      <w:keepLines/>
      <w:keepNext/>
      <w:spacing w:before="480" w:after="200"/>
      <w:outlineLvl w:val="0"/>
    </w:pPr>
    <w:rPr>
      <w:rFonts w:cs="Arial" w:eastAsia="Arial"/>
      <w:sz w:val="40"/>
      <w:szCs w:val="40"/>
    </w:rPr>
  </w:style>
  <w:style w:type="paragraph" w:styleId="727">
    <w:name w:val="Heading 2"/>
    <w:basedOn w:val="725"/>
    <w:next w:val="725"/>
    <w:link w:val="756"/>
    <w:uiPriority w:val="9"/>
    <w:unhideWhenUsed/>
    <w:qFormat/>
    <w:pPr>
      <w:keepLines/>
      <w:keepNext/>
      <w:spacing w:before="360" w:after="200"/>
      <w:outlineLvl w:val="1"/>
    </w:pPr>
    <w:rPr>
      <w:rFonts w:cs="Arial" w:eastAsia="Arial"/>
      <w:sz w:val="34"/>
    </w:rPr>
  </w:style>
  <w:style w:type="paragraph" w:styleId="728">
    <w:name w:val="Heading 3"/>
    <w:basedOn w:val="725"/>
    <w:next w:val="725"/>
    <w:link w:val="757"/>
    <w:uiPriority w:val="9"/>
    <w:unhideWhenUsed/>
    <w:qFormat/>
    <w:pPr>
      <w:keepLines/>
      <w:keepNext/>
      <w:spacing w:before="320" w:after="200"/>
      <w:outlineLvl w:val="2"/>
    </w:pPr>
    <w:rPr>
      <w:rFonts w:cs="Arial" w:eastAsia="Arial"/>
      <w:sz w:val="30"/>
      <w:szCs w:val="30"/>
    </w:rPr>
  </w:style>
  <w:style w:type="paragraph" w:styleId="729">
    <w:name w:val="Heading 4"/>
    <w:basedOn w:val="725"/>
    <w:next w:val="725"/>
    <w:link w:val="758"/>
    <w:uiPriority w:val="9"/>
    <w:unhideWhenUsed/>
    <w:qFormat/>
    <w:pPr>
      <w:keepLines/>
      <w:keepNext/>
      <w:spacing w:before="320" w:after="200"/>
      <w:outlineLvl w:val="3"/>
    </w:pPr>
    <w:rPr>
      <w:rFonts w:cs="Arial" w:eastAsia="Arial"/>
      <w:b/>
      <w:bCs/>
      <w:sz w:val="26"/>
      <w:szCs w:val="26"/>
    </w:rPr>
  </w:style>
  <w:style w:type="paragraph" w:styleId="730">
    <w:name w:val="Heading 5"/>
    <w:basedOn w:val="725"/>
    <w:next w:val="725"/>
    <w:link w:val="759"/>
    <w:uiPriority w:val="9"/>
    <w:unhideWhenUsed/>
    <w:qFormat/>
    <w:pPr>
      <w:keepLines/>
      <w:keepNext/>
      <w:spacing w:before="320" w:after="200"/>
      <w:outlineLvl w:val="4"/>
    </w:pPr>
    <w:rPr>
      <w:rFonts w:cs="Arial" w:eastAsia="Arial"/>
      <w:b/>
      <w:bCs/>
    </w:rPr>
  </w:style>
  <w:style w:type="paragraph" w:styleId="731">
    <w:name w:val="Heading 6"/>
    <w:basedOn w:val="725"/>
    <w:next w:val="725"/>
    <w:link w:val="760"/>
    <w:uiPriority w:val="9"/>
    <w:unhideWhenUsed/>
    <w:qFormat/>
    <w:pPr>
      <w:keepLines/>
      <w:keepNext/>
      <w:spacing w:before="320" w:after="200"/>
      <w:outlineLvl w:val="5"/>
    </w:pPr>
    <w:rPr>
      <w:rFonts w:cs="Arial" w:eastAsia="Arial"/>
      <w:b/>
      <w:bCs/>
      <w:sz w:val="22"/>
      <w:szCs w:val="22"/>
    </w:rPr>
  </w:style>
  <w:style w:type="paragraph" w:styleId="732">
    <w:name w:val="Heading 7"/>
    <w:basedOn w:val="725"/>
    <w:next w:val="725"/>
    <w:link w:val="761"/>
    <w:uiPriority w:val="9"/>
    <w:unhideWhenUsed/>
    <w:qFormat/>
    <w:pPr>
      <w:keepLines/>
      <w:keepNext/>
      <w:spacing w:before="320" w:after="200"/>
      <w:outlineLvl w:val="6"/>
    </w:pPr>
    <w:rPr>
      <w:rFonts w:cs="Arial" w:eastAsia="Arial"/>
      <w:b/>
      <w:bCs/>
      <w:i/>
      <w:iCs/>
      <w:sz w:val="22"/>
      <w:szCs w:val="22"/>
    </w:rPr>
  </w:style>
  <w:style w:type="paragraph" w:styleId="733">
    <w:name w:val="Heading 8"/>
    <w:basedOn w:val="725"/>
    <w:next w:val="725"/>
    <w:link w:val="762"/>
    <w:uiPriority w:val="9"/>
    <w:unhideWhenUsed/>
    <w:qFormat/>
    <w:pPr>
      <w:keepLines/>
      <w:keepNext/>
      <w:spacing w:before="320" w:after="200"/>
      <w:outlineLvl w:val="7"/>
    </w:pPr>
    <w:rPr>
      <w:rFonts w:cs="Arial" w:eastAsia="Arial"/>
      <w:i/>
      <w:iCs/>
      <w:sz w:val="22"/>
      <w:szCs w:val="22"/>
    </w:rPr>
  </w:style>
  <w:style w:type="paragraph" w:styleId="734">
    <w:name w:val="Heading 9"/>
    <w:basedOn w:val="725"/>
    <w:next w:val="725"/>
    <w:link w:val="763"/>
    <w:uiPriority w:val="9"/>
    <w:unhideWhenUsed/>
    <w:qFormat/>
    <w:pPr>
      <w:keepLines/>
      <w:keepNext/>
      <w:spacing w:before="320" w:after="200"/>
      <w:outlineLvl w:val="8"/>
    </w:pPr>
    <w:rPr>
      <w:rFonts w:cs="Arial" w:eastAsia="Arial"/>
      <w:i/>
      <w:iCs/>
      <w:sz w:val="21"/>
      <w:szCs w:val="21"/>
    </w:rPr>
  </w:style>
  <w:style w:type="character" w:styleId="735" w:default="1">
    <w:name w:val="Default Paragraph Font"/>
    <w:uiPriority w:val="1"/>
    <w:unhideWhenUsed/>
  </w:style>
  <w:style w:type="table" w:styleId="73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7" w:default="1">
    <w:name w:val="No List"/>
    <w:uiPriority w:val="99"/>
    <w:semiHidden/>
    <w:unhideWhenUsed/>
  </w:style>
  <w:style w:type="character" w:styleId="738" w:customStyle="1">
    <w:name w:val="Heading 1 Char"/>
    <w:basedOn w:val="735"/>
    <w:uiPriority w:val="9"/>
    <w:rPr>
      <w:rFonts w:ascii="Arial" w:hAnsi="Arial" w:cs="Arial" w:eastAsia="Arial"/>
      <w:sz w:val="40"/>
      <w:szCs w:val="40"/>
    </w:rPr>
  </w:style>
  <w:style w:type="character" w:styleId="739" w:customStyle="1">
    <w:name w:val="Heading 2 Char"/>
    <w:basedOn w:val="735"/>
    <w:uiPriority w:val="9"/>
    <w:rPr>
      <w:rFonts w:ascii="Arial" w:hAnsi="Arial" w:cs="Arial" w:eastAsia="Arial"/>
      <w:sz w:val="34"/>
    </w:rPr>
  </w:style>
  <w:style w:type="character" w:styleId="740" w:customStyle="1">
    <w:name w:val="Heading 3 Char"/>
    <w:basedOn w:val="735"/>
    <w:uiPriority w:val="9"/>
    <w:rPr>
      <w:rFonts w:ascii="Arial" w:hAnsi="Arial" w:cs="Arial" w:eastAsia="Arial"/>
      <w:sz w:val="30"/>
      <w:szCs w:val="30"/>
    </w:rPr>
  </w:style>
  <w:style w:type="character" w:styleId="741" w:customStyle="1">
    <w:name w:val="Heading 4 Char"/>
    <w:basedOn w:val="735"/>
    <w:uiPriority w:val="9"/>
    <w:rPr>
      <w:rFonts w:ascii="Arial" w:hAnsi="Arial" w:cs="Arial" w:eastAsia="Arial"/>
      <w:b/>
      <w:bCs/>
      <w:sz w:val="26"/>
      <w:szCs w:val="26"/>
    </w:rPr>
  </w:style>
  <w:style w:type="character" w:styleId="742" w:customStyle="1">
    <w:name w:val="Heading 5 Char"/>
    <w:basedOn w:val="735"/>
    <w:uiPriority w:val="9"/>
    <w:rPr>
      <w:rFonts w:ascii="Arial" w:hAnsi="Arial" w:cs="Arial" w:eastAsia="Arial"/>
      <w:b/>
      <w:bCs/>
      <w:sz w:val="24"/>
      <w:szCs w:val="24"/>
    </w:rPr>
  </w:style>
  <w:style w:type="character" w:styleId="743" w:customStyle="1">
    <w:name w:val="Heading 6 Char"/>
    <w:basedOn w:val="735"/>
    <w:uiPriority w:val="9"/>
    <w:rPr>
      <w:rFonts w:ascii="Arial" w:hAnsi="Arial" w:cs="Arial" w:eastAsia="Arial"/>
      <w:b/>
      <w:bCs/>
      <w:sz w:val="22"/>
      <w:szCs w:val="22"/>
    </w:rPr>
  </w:style>
  <w:style w:type="character" w:styleId="744" w:customStyle="1">
    <w:name w:val="Heading 7 Char"/>
    <w:basedOn w:val="735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745" w:customStyle="1">
    <w:name w:val="Heading 8 Char"/>
    <w:basedOn w:val="735"/>
    <w:uiPriority w:val="9"/>
    <w:rPr>
      <w:rFonts w:ascii="Arial" w:hAnsi="Arial" w:cs="Arial" w:eastAsia="Arial"/>
      <w:i/>
      <w:iCs/>
      <w:sz w:val="22"/>
      <w:szCs w:val="22"/>
    </w:rPr>
  </w:style>
  <w:style w:type="character" w:styleId="746" w:customStyle="1">
    <w:name w:val="Heading 9 Char"/>
    <w:basedOn w:val="735"/>
    <w:uiPriority w:val="9"/>
    <w:rPr>
      <w:rFonts w:ascii="Arial" w:hAnsi="Arial" w:cs="Arial" w:eastAsia="Arial"/>
      <w:i/>
      <w:iCs/>
      <w:sz w:val="21"/>
      <w:szCs w:val="21"/>
    </w:rPr>
  </w:style>
  <w:style w:type="character" w:styleId="747" w:customStyle="1">
    <w:name w:val="Title Char"/>
    <w:basedOn w:val="735"/>
    <w:uiPriority w:val="10"/>
    <w:rPr>
      <w:sz w:val="48"/>
      <w:szCs w:val="48"/>
    </w:rPr>
  </w:style>
  <w:style w:type="character" w:styleId="748" w:customStyle="1">
    <w:name w:val="Subtitle Char"/>
    <w:basedOn w:val="735"/>
    <w:uiPriority w:val="11"/>
    <w:rPr>
      <w:sz w:val="24"/>
      <w:szCs w:val="24"/>
    </w:rPr>
  </w:style>
  <w:style w:type="character" w:styleId="749" w:customStyle="1">
    <w:name w:val="Quote Char"/>
    <w:uiPriority w:val="29"/>
    <w:rPr>
      <w:i/>
    </w:rPr>
  </w:style>
  <w:style w:type="character" w:styleId="750" w:customStyle="1">
    <w:name w:val="Intense Quote Char"/>
    <w:uiPriority w:val="30"/>
    <w:rPr>
      <w:i/>
    </w:rPr>
  </w:style>
  <w:style w:type="character" w:styleId="751" w:customStyle="1">
    <w:name w:val="Header Char"/>
    <w:basedOn w:val="735"/>
    <w:uiPriority w:val="99"/>
  </w:style>
  <w:style w:type="character" w:styleId="752" w:customStyle="1">
    <w:name w:val="Caption Char"/>
    <w:uiPriority w:val="99"/>
  </w:style>
  <w:style w:type="character" w:styleId="753" w:customStyle="1">
    <w:name w:val="Footnote Text Char"/>
    <w:uiPriority w:val="99"/>
    <w:rPr>
      <w:sz w:val="18"/>
    </w:rPr>
  </w:style>
  <w:style w:type="character" w:styleId="754" w:customStyle="1">
    <w:name w:val="Endnote Text Char"/>
    <w:uiPriority w:val="99"/>
    <w:rPr>
      <w:sz w:val="20"/>
    </w:rPr>
  </w:style>
  <w:style w:type="character" w:styleId="755" w:customStyle="1">
    <w:name w:val="Título 1 Char"/>
    <w:link w:val="726"/>
    <w:uiPriority w:val="9"/>
    <w:rPr>
      <w:rFonts w:ascii="Arial" w:hAnsi="Arial" w:cs="Arial" w:eastAsia="Arial"/>
      <w:sz w:val="40"/>
      <w:szCs w:val="40"/>
    </w:rPr>
  </w:style>
  <w:style w:type="character" w:styleId="756" w:customStyle="1">
    <w:name w:val="Título 2 Char"/>
    <w:link w:val="727"/>
    <w:uiPriority w:val="9"/>
    <w:rPr>
      <w:rFonts w:ascii="Arial" w:hAnsi="Arial" w:cs="Arial" w:eastAsia="Arial"/>
      <w:sz w:val="34"/>
    </w:rPr>
  </w:style>
  <w:style w:type="character" w:styleId="757" w:customStyle="1">
    <w:name w:val="Título 3 Char"/>
    <w:link w:val="728"/>
    <w:uiPriority w:val="9"/>
    <w:rPr>
      <w:rFonts w:ascii="Arial" w:hAnsi="Arial" w:cs="Arial" w:eastAsia="Arial"/>
      <w:sz w:val="30"/>
      <w:szCs w:val="30"/>
    </w:rPr>
  </w:style>
  <w:style w:type="character" w:styleId="758" w:customStyle="1">
    <w:name w:val="Título 4 Char"/>
    <w:link w:val="729"/>
    <w:uiPriority w:val="9"/>
    <w:rPr>
      <w:rFonts w:ascii="Arial" w:hAnsi="Arial" w:cs="Arial" w:eastAsia="Arial"/>
      <w:b/>
      <w:bCs/>
      <w:sz w:val="26"/>
      <w:szCs w:val="26"/>
    </w:rPr>
  </w:style>
  <w:style w:type="character" w:styleId="759" w:customStyle="1">
    <w:name w:val="Título 5 Char"/>
    <w:link w:val="730"/>
    <w:uiPriority w:val="9"/>
    <w:rPr>
      <w:rFonts w:ascii="Arial" w:hAnsi="Arial" w:cs="Arial" w:eastAsia="Arial"/>
      <w:b/>
      <w:bCs/>
      <w:sz w:val="24"/>
      <w:szCs w:val="24"/>
    </w:rPr>
  </w:style>
  <w:style w:type="character" w:styleId="760" w:customStyle="1">
    <w:name w:val="Título 6 Char"/>
    <w:link w:val="731"/>
    <w:uiPriority w:val="9"/>
    <w:rPr>
      <w:rFonts w:ascii="Arial" w:hAnsi="Arial" w:cs="Arial" w:eastAsia="Arial"/>
      <w:b/>
      <w:bCs/>
      <w:sz w:val="22"/>
      <w:szCs w:val="22"/>
    </w:rPr>
  </w:style>
  <w:style w:type="character" w:styleId="761" w:customStyle="1">
    <w:name w:val="Título 7 Char"/>
    <w:link w:val="732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762" w:customStyle="1">
    <w:name w:val="Título 8 Char"/>
    <w:link w:val="733"/>
    <w:uiPriority w:val="9"/>
    <w:rPr>
      <w:rFonts w:ascii="Arial" w:hAnsi="Arial" w:cs="Arial" w:eastAsia="Arial"/>
      <w:i/>
      <w:iCs/>
      <w:sz w:val="22"/>
      <w:szCs w:val="22"/>
    </w:rPr>
  </w:style>
  <w:style w:type="character" w:styleId="763" w:customStyle="1">
    <w:name w:val="Título 9 Char"/>
    <w:link w:val="734"/>
    <w:uiPriority w:val="9"/>
    <w:rPr>
      <w:rFonts w:ascii="Arial" w:hAnsi="Arial" w:cs="Arial" w:eastAsia="Arial"/>
      <w:i/>
      <w:iCs/>
      <w:sz w:val="21"/>
      <w:szCs w:val="21"/>
    </w:rPr>
  </w:style>
  <w:style w:type="paragraph" w:styleId="764">
    <w:name w:val="List Paragraph"/>
    <w:basedOn w:val="725"/>
    <w:uiPriority w:val="34"/>
    <w:qFormat/>
    <w:pPr>
      <w:contextualSpacing/>
      <w:ind w:left="720"/>
    </w:pPr>
  </w:style>
  <w:style w:type="paragraph" w:styleId="765">
    <w:name w:val="No Spacing"/>
    <w:uiPriority w:val="1"/>
    <w:qFormat/>
  </w:style>
  <w:style w:type="paragraph" w:styleId="766">
    <w:name w:val="Title"/>
    <w:basedOn w:val="725"/>
    <w:next w:val="725"/>
    <w:link w:val="76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7" w:customStyle="1">
    <w:name w:val="Título Char"/>
    <w:link w:val="766"/>
    <w:uiPriority w:val="10"/>
    <w:rPr>
      <w:sz w:val="48"/>
      <w:szCs w:val="48"/>
    </w:rPr>
  </w:style>
  <w:style w:type="paragraph" w:styleId="768">
    <w:name w:val="Subtitle"/>
    <w:basedOn w:val="725"/>
    <w:next w:val="725"/>
    <w:link w:val="769"/>
    <w:uiPriority w:val="11"/>
    <w:qFormat/>
    <w:pPr>
      <w:spacing w:before="200" w:after="200"/>
    </w:pPr>
  </w:style>
  <w:style w:type="character" w:styleId="769" w:customStyle="1">
    <w:name w:val="Subtítulo Char"/>
    <w:link w:val="768"/>
    <w:uiPriority w:val="11"/>
    <w:rPr>
      <w:sz w:val="24"/>
      <w:szCs w:val="24"/>
    </w:rPr>
  </w:style>
  <w:style w:type="paragraph" w:styleId="770">
    <w:name w:val="Quote"/>
    <w:basedOn w:val="725"/>
    <w:next w:val="725"/>
    <w:link w:val="771"/>
    <w:uiPriority w:val="29"/>
    <w:qFormat/>
    <w:pPr>
      <w:ind w:left="720" w:right="720"/>
    </w:pPr>
    <w:rPr>
      <w:i/>
    </w:rPr>
  </w:style>
  <w:style w:type="character" w:styleId="771" w:customStyle="1">
    <w:name w:val="Citação Char"/>
    <w:link w:val="770"/>
    <w:uiPriority w:val="29"/>
    <w:rPr>
      <w:i/>
    </w:rPr>
  </w:style>
  <w:style w:type="paragraph" w:styleId="772">
    <w:name w:val="Intense Quote"/>
    <w:basedOn w:val="725"/>
    <w:next w:val="725"/>
    <w:link w:val="77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3" w:customStyle="1">
    <w:name w:val="Citação Intensa Char"/>
    <w:link w:val="772"/>
    <w:uiPriority w:val="30"/>
    <w:rPr>
      <w:i/>
    </w:rPr>
  </w:style>
  <w:style w:type="paragraph" w:styleId="774">
    <w:name w:val="Header"/>
    <w:basedOn w:val="725"/>
    <w:link w:val="775"/>
    <w:pPr>
      <w:tabs>
        <w:tab w:val="center" w:pos="4419" w:leader="none"/>
        <w:tab w:val="right" w:pos="8838" w:leader="none"/>
      </w:tabs>
    </w:pPr>
    <w:rPr>
      <w:rFonts w:ascii="Times New Roman" w:hAnsi="Times New Roman"/>
    </w:rPr>
  </w:style>
  <w:style w:type="character" w:styleId="775" w:customStyle="1">
    <w:name w:val="Cabeçalho Char1"/>
    <w:link w:val="774"/>
    <w:uiPriority w:val="99"/>
  </w:style>
  <w:style w:type="paragraph" w:styleId="776">
    <w:name w:val="Footer"/>
    <w:basedOn w:val="725"/>
    <w:link w:val="779"/>
    <w:pPr>
      <w:tabs>
        <w:tab w:val="center" w:pos="4252" w:leader="none"/>
        <w:tab w:val="right" w:pos="8504" w:leader="none"/>
      </w:tabs>
    </w:pPr>
  </w:style>
  <w:style w:type="character" w:styleId="777" w:customStyle="1">
    <w:name w:val="Footer Char"/>
    <w:uiPriority w:val="99"/>
  </w:style>
  <w:style w:type="paragraph" w:styleId="778">
    <w:name w:val="Caption"/>
    <w:basedOn w:val="725"/>
    <w:pPr>
      <w:spacing w:before="120" w:after="120"/>
      <w:suppressLineNumbers/>
    </w:pPr>
    <w:rPr>
      <w:i/>
      <w:iCs/>
    </w:rPr>
  </w:style>
  <w:style w:type="character" w:styleId="779" w:customStyle="1">
    <w:name w:val="Rodapé Char1"/>
    <w:link w:val="776"/>
    <w:uiPriority w:val="99"/>
  </w:style>
  <w:style w:type="table" w:styleId="780">
    <w:name w:val="Table Grid"/>
    <w:rPr>
      <w:rFonts w:ascii="Calibri" w:hAnsi="Calibri"/>
      <w:sz w:val="22"/>
      <w:szCs w:val="22"/>
      <w:lang w:eastAsia="pt-BR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2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3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4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5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7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9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10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11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12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13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14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15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16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17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18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19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20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21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22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23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24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25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26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27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28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29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0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1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2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3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4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5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6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44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45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46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47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48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49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50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5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6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7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8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9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0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1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72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73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74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75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76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77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78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9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0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1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2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3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4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5" w:customStyle="1">
    <w:name w:val="Lined - Accent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6" w:customStyle="1">
    <w:name w:val="Lined - Accent 1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87" w:customStyle="1">
    <w:name w:val="Lined - Accent 2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88" w:customStyle="1">
    <w:name w:val="Lined - Accent 3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89" w:customStyle="1">
    <w:name w:val="Lined - Accent 4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90" w:customStyle="1">
    <w:name w:val="Lined - Accent 5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91" w:customStyle="1">
    <w:name w:val="Lined - Accent 6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92" w:customStyle="1">
    <w:name w:val="Bordered &amp; Lined - Accent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3" w:customStyle="1">
    <w:name w:val="Bordered &amp; Lined - Accent 1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94" w:customStyle="1">
    <w:name w:val="Bordered &amp; Lined - Accent 2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95" w:customStyle="1">
    <w:name w:val="Bordered &amp; Lined - Accent 3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96" w:customStyle="1">
    <w:name w:val="Bordered &amp; Lined - Accent 4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97" w:customStyle="1">
    <w:name w:val="Bordered &amp; Lined - Accent 5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98" w:customStyle="1">
    <w:name w:val="Bordered &amp; Lined - Accent 6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99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00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01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02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03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04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05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06">
    <w:name w:val="Hyperlink"/>
    <w:uiPriority w:val="99"/>
    <w:unhideWhenUsed/>
    <w:rPr>
      <w:color w:val="0000FF" w:themeColor="hyperlink"/>
      <w:u w:val="single"/>
    </w:rPr>
  </w:style>
  <w:style w:type="paragraph" w:styleId="907">
    <w:name w:val="footnote text"/>
    <w:basedOn w:val="725"/>
    <w:link w:val="908"/>
    <w:uiPriority w:val="99"/>
    <w:semiHidden/>
    <w:unhideWhenUsed/>
    <w:pPr>
      <w:spacing w:after="40"/>
    </w:pPr>
    <w:rPr>
      <w:sz w:val="18"/>
    </w:rPr>
  </w:style>
  <w:style w:type="character" w:styleId="908" w:customStyle="1">
    <w:name w:val="Texto de nota de rodapé Char"/>
    <w:link w:val="907"/>
    <w:uiPriority w:val="99"/>
    <w:rPr>
      <w:sz w:val="18"/>
    </w:rPr>
  </w:style>
  <w:style w:type="character" w:styleId="909">
    <w:name w:val="footnote reference"/>
    <w:uiPriority w:val="99"/>
    <w:unhideWhenUsed/>
    <w:rPr>
      <w:vertAlign w:val="superscript"/>
    </w:rPr>
  </w:style>
  <w:style w:type="paragraph" w:styleId="910">
    <w:name w:val="endnote text"/>
    <w:basedOn w:val="725"/>
    <w:link w:val="911"/>
    <w:uiPriority w:val="99"/>
    <w:semiHidden/>
    <w:unhideWhenUsed/>
    <w:rPr>
      <w:sz w:val="20"/>
    </w:rPr>
  </w:style>
  <w:style w:type="character" w:styleId="911" w:customStyle="1">
    <w:name w:val="Texto de nota de fim Char"/>
    <w:link w:val="910"/>
    <w:uiPriority w:val="99"/>
    <w:rPr>
      <w:sz w:val="20"/>
    </w:rPr>
  </w:style>
  <w:style w:type="character" w:styleId="912">
    <w:name w:val="endnote reference"/>
    <w:uiPriority w:val="99"/>
    <w:semiHidden/>
    <w:unhideWhenUsed/>
    <w:rPr>
      <w:vertAlign w:val="superscript"/>
    </w:rPr>
  </w:style>
  <w:style w:type="paragraph" w:styleId="913">
    <w:name w:val="toc 1"/>
    <w:basedOn w:val="725"/>
    <w:next w:val="725"/>
    <w:uiPriority w:val="39"/>
    <w:unhideWhenUsed/>
    <w:pPr>
      <w:spacing w:after="57"/>
    </w:pPr>
  </w:style>
  <w:style w:type="paragraph" w:styleId="914">
    <w:name w:val="toc 2"/>
    <w:basedOn w:val="725"/>
    <w:next w:val="725"/>
    <w:uiPriority w:val="39"/>
    <w:unhideWhenUsed/>
    <w:pPr>
      <w:ind w:left="283"/>
      <w:spacing w:after="57"/>
    </w:pPr>
  </w:style>
  <w:style w:type="paragraph" w:styleId="915">
    <w:name w:val="toc 3"/>
    <w:basedOn w:val="725"/>
    <w:next w:val="725"/>
    <w:uiPriority w:val="39"/>
    <w:unhideWhenUsed/>
    <w:pPr>
      <w:ind w:left="567"/>
      <w:spacing w:after="57"/>
    </w:pPr>
  </w:style>
  <w:style w:type="paragraph" w:styleId="916">
    <w:name w:val="toc 4"/>
    <w:basedOn w:val="725"/>
    <w:next w:val="725"/>
    <w:uiPriority w:val="39"/>
    <w:unhideWhenUsed/>
    <w:pPr>
      <w:ind w:left="850"/>
      <w:spacing w:after="57"/>
    </w:pPr>
  </w:style>
  <w:style w:type="paragraph" w:styleId="917">
    <w:name w:val="toc 5"/>
    <w:basedOn w:val="725"/>
    <w:next w:val="725"/>
    <w:uiPriority w:val="39"/>
    <w:unhideWhenUsed/>
    <w:pPr>
      <w:ind w:left="1134"/>
      <w:spacing w:after="57"/>
    </w:pPr>
  </w:style>
  <w:style w:type="paragraph" w:styleId="918">
    <w:name w:val="toc 6"/>
    <w:basedOn w:val="725"/>
    <w:next w:val="725"/>
    <w:uiPriority w:val="39"/>
    <w:unhideWhenUsed/>
    <w:pPr>
      <w:ind w:left="1417"/>
      <w:spacing w:after="57"/>
    </w:pPr>
  </w:style>
  <w:style w:type="paragraph" w:styleId="919">
    <w:name w:val="toc 7"/>
    <w:basedOn w:val="725"/>
    <w:next w:val="725"/>
    <w:uiPriority w:val="39"/>
    <w:unhideWhenUsed/>
    <w:pPr>
      <w:ind w:left="1701"/>
      <w:spacing w:after="57"/>
    </w:pPr>
  </w:style>
  <w:style w:type="paragraph" w:styleId="920">
    <w:name w:val="toc 8"/>
    <w:basedOn w:val="725"/>
    <w:next w:val="725"/>
    <w:uiPriority w:val="39"/>
    <w:unhideWhenUsed/>
    <w:pPr>
      <w:ind w:left="1984"/>
      <w:spacing w:after="57"/>
    </w:pPr>
  </w:style>
  <w:style w:type="paragraph" w:styleId="921">
    <w:name w:val="toc 9"/>
    <w:basedOn w:val="725"/>
    <w:next w:val="725"/>
    <w:uiPriority w:val="39"/>
    <w:unhideWhenUsed/>
    <w:pPr>
      <w:ind w:left="2268"/>
      <w:spacing w:after="57"/>
    </w:pPr>
  </w:style>
  <w:style w:type="paragraph" w:styleId="922">
    <w:name w:val="TOC Heading"/>
    <w:uiPriority w:val="39"/>
    <w:unhideWhenUsed/>
  </w:style>
  <w:style w:type="paragraph" w:styleId="923">
    <w:name w:val="table of figures"/>
    <w:basedOn w:val="725"/>
    <w:next w:val="725"/>
    <w:uiPriority w:val="99"/>
    <w:unhideWhenUsed/>
  </w:style>
  <w:style w:type="character" w:styleId="924" w:customStyle="1">
    <w:name w:val="WW8Num1z0"/>
    <w:rPr>
      <w:rFonts w:ascii="Symbol" w:hAnsi="Symbol"/>
    </w:rPr>
  </w:style>
  <w:style w:type="character" w:styleId="925" w:customStyle="1">
    <w:name w:val="Fonte parág. padrão4"/>
  </w:style>
  <w:style w:type="character" w:styleId="926">
    <w:name w:val="Strong"/>
    <w:rPr>
      <w:b/>
      <w:bCs/>
    </w:rPr>
  </w:style>
  <w:style w:type="character" w:styleId="927" w:customStyle="1">
    <w:name w:val="WW8Num2z0"/>
  </w:style>
  <w:style w:type="character" w:styleId="928" w:customStyle="1">
    <w:name w:val="WW8Num2z1"/>
  </w:style>
  <w:style w:type="character" w:styleId="929" w:customStyle="1">
    <w:name w:val="WW8Num2z2"/>
  </w:style>
  <w:style w:type="character" w:styleId="930" w:customStyle="1">
    <w:name w:val="WW8Num2z3"/>
  </w:style>
  <w:style w:type="character" w:styleId="931" w:customStyle="1">
    <w:name w:val="WW8Num2z4"/>
  </w:style>
  <w:style w:type="character" w:styleId="932" w:customStyle="1">
    <w:name w:val="WW8Num2z5"/>
  </w:style>
  <w:style w:type="character" w:styleId="933" w:customStyle="1">
    <w:name w:val="WW8Num2z6"/>
  </w:style>
  <w:style w:type="character" w:styleId="934" w:customStyle="1">
    <w:name w:val="WW8Num2z7"/>
  </w:style>
  <w:style w:type="character" w:styleId="935" w:customStyle="1">
    <w:name w:val="WW8Num2z8"/>
  </w:style>
  <w:style w:type="character" w:styleId="936" w:customStyle="1">
    <w:name w:val="Fonte parág. padrão3"/>
  </w:style>
  <w:style w:type="character" w:styleId="937" w:customStyle="1">
    <w:name w:val="Fonte parág. padrão2"/>
  </w:style>
  <w:style w:type="character" w:styleId="938" w:customStyle="1">
    <w:name w:val="Fonte parág. padrão1"/>
  </w:style>
  <w:style w:type="character" w:styleId="939" w:customStyle="1">
    <w:name w:val="Recuo de corpo de texto Char"/>
    <w:rPr>
      <w:sz w:val="24"/>
      <w:lang w:val="pt-BR" w:bidi="ar-SA"/>
    </w:rPr>
  </w:style>
  <w:style w:type="character" w:styleId="940" w:customStyle="1">
    <w:name w:val="Corpo de texto Char"/>
    <w:rPr>
      <w:rFonts w:ascii="Arial" w:hAnsi="Arial"/>
      <w:sz w:val="24"/>
      <w:lang w:val="pt-BR" w:bidi="ar-SA"/>
    </w:rPr>
  </w:style>
  <w:style w:type="character" w:styleId="941" w:customStyle="1">
    <w:name w:val="Cabeçalho Char"/>
    <w:rPr>
      <w:sz w:val="24"/>
      <w:szCs w:val="24"/>
    </w:rPr>
  </w:style>
  <w:style w:type="character" w:styleId="942" w:customStyle="1">
    <w:name w:val="Rodapé Char"/>
    <w:rPr>
      <w:rFonts w:ascii="Arial" w:hAnsi="Arial"/>
      <w:sz w:val="24"/>
      <w:szCs w:val="24"/>
    </w:rPr>
  </w:style>
  <w:style w:type="character" w:styleId="943" w:customStyle="1">
    <w:name w:val="Recuo de corpo de texto 2 Char"/>
    <w:rPr>
      <w:color w:val="000000"/>
    </w:rPr>
  </w:style>
  <w:style w:type="paragraph" w:styleId="944" w:customStyle="1">
    <w:name w:val="Título4"/>
    <w:basedOn w:val="725"/>
    <w:next w:val="945"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945">
    <w:name w:val="Body Text"/>
    <w:basedOn w:val="725"/>
    <w:pPr>
      <w:jc w:val="both"/>
    </w:pPr>
    <w:rPr>
      <w:szCs w:val="20"/>
    </w:rPr>
  </w:style>
  <w:style w:type="paragraph" w:styleId="946">
    <w:name w:val="List"/>
    <w:basedOn w:val="945"/>
  </w:style>
  <w:style w:type="paragraph" w:styleId="947" w:customStyle="1">
    <w:name w:val="Índice"/>
    <w:basedOn w:val="725"/>
    <w:pPr>
      <w:suppressLineNumbers/>
    </w:pPr>
  </w:style>
  <w:style w:type="paragraph" w:styleId="948" w:customStyle="1">
    <w:name w:val="Cabeçalho e Rodapé"/>
    <w:basedOn w:val="725"/>
    <w:pPr>
      <w:tabs>
        <w:tab w:val="center" w:pos="4819" w:leader="none"/>
        <w:tab w:val="right" w:pos="9638" w:leader="none"/>
      </w:tabs>
      <w:suppressLineNumbers/>
    </w:pPr>
  </w:style>
  <w:style w:type="paragraph" w:styleId="949">
    <w:name w:val="Balloon Text"/>
    <w:basedOn w:val="725"/>
    <w:rPr>
      <w:rFonts w:ascii="Tahoma" w:hAnsi="Tahoma"/>
      <w:sz w:val="16"/>
      <w:szCs w:val="16"/>
    </w:rPr>
  </w:style>
  <w:style w:type="paragraph" w:styleId="950">
    <w:name w:val="Body Text Indent"/>
    <w:basedOn w:val="725"/>
    <w:pPr>
      <w:ind w:left="4248"/>
      <w:jc w:val="both"/>
    </w:pPr>
    <w:rPr>
      <w:rFonts w:ascii="Times New Roman" w:hAnsi="Times New Roman"/>
      <w:szCs w:val="20"/>
    </w:rPr>
  </w:style>
  <w:style w:type="paragraph" w:styleId="951" w:customStyle="1">
    <w:name w:val="Título3"/>
    <w:basedOn w:val="725"/>
    <w:next w:val="945"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952" w:customStyle="1">
    <w:name w:val="Título2"/>
    <w:basedOn w:val="725"/>
    <w:next w:val="945"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953" w:customStyle="1">
    <w:name w:val="Título1"/>
    <w:basedOn w:val="725"/>
    <w:next w:val="945"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954" w:customStyle="1">
    <w:name w:val="Mapa do Documento1"/>
    <w:basedOn w:val="725"/>
    <w:pPr>
      <w:shd w:val="clear" w:color="auto" w:fill="000080"/>
    </w:pPr>
    <w:rPr>
      <w:rFonts w:ascii="Tahoma" w:hAnsi="Tahoma"/>
      <w:sz w:val="20"/>
      <w:szCs w:val="20"/>
    </w:rPr>
  </w:style>
  <w:style w:type="paragraph" w:styleId="955" w:customStyle="1">
    <w:name w:val="Recuo de corpo de texto 21"/>
    <w:basedOn w:val="725"/>
    <w:pPr>
      <w:ind w:left="283"/>
      <w:spacing w:after="120" w:line="480" w:lineRule="auto"/>
    </w:pPr>
    <w:rPr>
      <w:rFonts w:ascii="Times New Roman" w:hAnsi="Times New Roman"/>
      <w:color w:val="000000"/>
      <w:sz w:val="20"/>
      <w:szCs w:val="20"/>
    </w:rPr>
  </w:style>
  <w:style w:type="paragraph" w:styleId="956" w:customStyle="1">
    <w:name w:val="Com marcadores1"/>
    <w:basedOn w:val="725"/>
    <w:pPr>
      <w:numPr>
        <w:numId w:val="1"/>
      </w:numPr>
      <w:contextualSpacing/>
      <w:tabs>
        <w:tab w:val="left" w:pos="360" w:leader="none"/>
      </w:tabs>
    </w:pPr>
  </w:style>
  <w:style w:type="paragraph" w:styleId="957" w:customStyle="1">
    <w:name w:val="Conteúdo da tabela"/>
    <w:basedOn w:val="725"/>
    <w:pPr>
      <w:suppressLineNumbers/>
    </w:pPr>
  </w:style>
  <w:style w:type="paragraph" w:styleId="958" w:customStyle="1">
    <w:name w:val="Título de tabela"/>
    <w:basedOn w:val="957"/>
    <w:pPr>
      <w:jc w:val="center"/>
    </w:pPr>
    <w:rPr>
      <w:b/>
      <w:bCs/>
    </w:rPr>
  </w:style>
  <w:style w:type="table" w:styleId="959" w:customStyle="1">
    <w:name w:val="Tabela com grade1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60" w:customStyle="1">
    <w:name w:val="Tabela com grade2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61" w:customStyle="1">
    <w:name w:val="Tabela com grade3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62" w:customStyle="1">
    <w:name w:val="Tabela com grade4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63" w:customStyle="1">
    <w:name w:val="Tabela com grade5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64" w:customStyle="1">
    <w:name w:val="Tabela com grade6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65" w:customStyle="1">
    <w:name w:val="Tabela com grade7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66" w:customStyle="1">
    <w:name w:val="Tabela com grade8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67" w:customStyle="1">
    <w:name w:val="Tabela com grade9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68" w:customStyle="1">
    <w:name w:val="Tabela com grade10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69" w:customStyle="1">
    <w:name w:val="Tabela com grade11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70" w:customStyle="1">
    <w:name w:val="Tabela com grade12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71" w:customStyle="1">
    <w:name w:val="Tabela com grade13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72" w:customStyle="1">
    <w:name w:val="Tabela com grade14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73" w:customStyle="1">
    <w:name w:val="Tabela com grade15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74" w:customStyle="1">
    <w:name w:val="Tabela com grade16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75" w:customStyle="1">
    <w:name w:val="Tabela com grade17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76" w:customStyle="1">
    <w:name w:val="Tabela com grade18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77" w:customStyle="1">
    <w:name w:val="Tabela com grade19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78" w:customStyle="1">
    <w:name w:val="Tabela com grade20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79" w:customStyle="1">
    <w:name w:val="Tabela com grade21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80" w:customStyle="1">
    <w:name w:val="Tabela com grade22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81" w:customStyle="1">
    <w:name w:val="Tabela com grade23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82" w:customStyle="1">
    <w:name w:val="Tabela com grade24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83" w:customStyle="1">
    <w:name w:val="Tabela com grade25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84" w:customStyle="1">
    <w:name w:val="Tabela com grade26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85" w:customStyle="1">
    <w:name w:val="Tabela com grade27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86" w:customStyle="1">
    <w:name w:val="Tabela com grade28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87" w:customStyle="1">
    <w:name w:val="Tabela com grade29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88" w:customStyle="1">
    <w:name w:val="Tabela com grade30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89" w:customStyle="1">
    <w:name w:val="Tabela com grade31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90" w:customStyle="1">
    <w:name w:val="Tabela com grade32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91" w:customStyle="1">
    <w:name w:val="Tabela com grade33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92" w:customStyle="1">
    <w:name w:val="Tabela com grade34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93" w:customStyle="1">
    <w:name w:val="Tabela com grade35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94" w:customStyle="1">
    <w:name w:val="Tabela com grade36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95" w:customStyle="1">
    <w:name w:val="Tabela com grade37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96" w:customStyle="1">
    <w:name w:val="Tabela com grade38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97" w:customStyle="1">
    <w:name w:val="Tabela com grade39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98" w:customStyle="1">
    <w:name w:val="Tabela com grade40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99" w:customStyle="1">
    <w:name w:val="Tabela com grade41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00" w:customStyle="1">
    <w:name w:val="Tabela com grade42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01" w:customStyle="1">
    <w:name w:val="Tabela com grade43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02" w:customStyle="1">
    <w:name w:val="Tabela com grade44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03" w:customStyle="1">
    <w:name w:val="Tabela com grade45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04" w:customStyle="1">
    <w:name w:val="Tabela com grade46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05" w:customStyle="1">
    <w:name w:val="Tabela com grade47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06" w:customStyle="1">
    <w:name w:val="Tabela com grade48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07" w:customStyle="1">
    <w:name w:val="Tabela com grade49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08" w:customStyle="1">
    <w:name w:val="Tabela com grade50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09" w:customStyle="1">
    <w:name w:val="Tabela com grade51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10" w:customStyle="1">
    <w:name w:val="Tabela com grade52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11" w:customStyle="1">
    <w:name w:val="Tabela com grade53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12" w:customStyle="1">
    <w:name w:val="Tabela com grade54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13" w:customStyle="1">
    <w:name w:val="Tabela com grade55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14" w:customStyle="1">
    <w:name w:val="Tabela com grade56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15" w:customStyle="1">
    <w:name w:val="Tabela com grade57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16" w:customStyle="1">
    <w:name w:val="Tabela com grade58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17" w:customStyle="1">
    <w:name w:val="Tabela com grade59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18" w:customStyle="1">
    <w:name w:val="Tabela com grade60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19" w:customStyle="1">
    <w:name w:val="Tabela com grade61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20" w:customStyle="1">
    <w:name w:val="Tabela com grade62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21" w:customStyle="1">
    <w:name w:val="Tabela com grade63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22" w:customStyle="1">
    <w:name w:val="Tabela com grade64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23" w:customStyle="1">
    <w:name w:val="Tabela com grade65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24" w:customStyle="1">
    <w:name w:val="Tabela com grade66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25" w:customStyle="1">
    <w:name w:val="Tabela com grade67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26" w:customStyle="1">
    <w:name w:val="Tabela com grade68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27" w:customStyle="1">
    <w:name w:val="Tabela com grade69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28" w:customStyle="1">
    <w:name w:val="Tabela com grade70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29" w:customStyle="1">
    <w:name w:val="Tabela com grade71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30" w:customStyle="1">
    <w:name w:val="Tabela com grade72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31" w:customStyle="1">
    <w:name w:val="Tabela com grade73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32" w:customStyle="1">
    <w:name w:val="Tabela com grade74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33" w:customStyle="1">
    <w:name w:val="Tabela com grade75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34" w:customStyle="1">
    <w:name w:val="Tabela com grade76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35" w:customStyle="1">
    <w:name w:val="Tabela com grade77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36" w:customStyle="1">
    <w:name w:val="Tabela com grade78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37" w:customStyle="1">
    <w:name w:val="Tabela com grade79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38" w:customStyle="1">
    <w:name w:val="Tabela com grade80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39" w:customStyle="1">
    <w:name w:val="Tabela com grade81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40" w:customStyle="1">
    <w:name w:val="Tabela com grade82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41" w:customStyle="1">
    <w:name w:val="Tabela com grade83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42" w:customStyle="1">
    <w:name w:val="Tabela com grade84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43" w:customStyle="1">
    <w:name w:val="Tabela com grade85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44" w:customStyle="1">
    <w:name w:val="Tabela com grade86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45" w:customStyle="1">
    <w:name w:val="Tabela com grade87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46" w:customStyle="1">
    <w:name w:val="Tabela com grade88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47" w:customStyle="1">
    <w:name w:val="Tabela com grade89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48" w:customStyle="1">
    <w:name w:val="Tabela com grade90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49" w:customStyle="1">
    <w:name w:val="Tabela com grade91"/>
    <w:next w:val="780"/>
    <w:rPr>
      <w:rFonts w:ascii="Calibri" w:hAnsi="Calibri"/>
      <w:sz w:val="22"/>
      <w:szCs w:val="22"/>
      <w:lang w:eastAsia="pt-BR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ONLYOFFICE/7.1.1.57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Valdir Scheid</dc:creator>
  <cp:revision>8</cp:revision>
  <dcterms:created xsi:type="dcterms:W3CDTF">2024-11-11T12:25:00Z</dcterms:created>
  <dcterms:modified xsi:type="dcterms:W3CDTF">2024-11-21T12:14:49Z</dcterms:modified>
</cp:coreProperties>
</file>