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2"/>
        <w:pBdr/>
        <w:spacing/>
        <w:ind w:left="0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DECRETO Nº 5.691/2024, DE 23 DE DEZEMBRO.</w:t>
      </w:r>
      <w:r>
        <w:rPr>
          <w:b/>
          <w:sz w:val="22"/>
          <w:szCs w:val="24"/>
        </w:rPr>
      </w:r>
    </w:p>
    <w:p>
      <w:pPr>
        <w:pStyle w:val="1012"/>
        <w:pBdr/>
        <w:spacing/>
        <w:ind w:left="0"/>
        <w:rPr>
          <w:bCs/>
          <w:sz w:val="22"/>
          <w:szCs w:val="24"/>
        </w:rPr>
      </w:pPr>
      <w:r>
        <w:rPr>
          <w:bCs/>
          <w:sz w:val="22"/>
          <w:szCs w:val="24"/>
        </w:rPr>
      </w:r>
      <w:r>
        <w:rPr>
          <w:bCs/>
          <w:sz w:val="22"/>
          <w:szCs w:val="24"/>
        </w:rPr>
      </w:r>
    </w:p>
    <w:p>
      <w:pPr>
        <w:pStyle w:val="1012"/>
        <w:pBdr/>
        <w:spacing/>
        <w:ind w:left="4956"/>
        <w:rPr>
          <w:b/>
          <w:sz w:val="22"/>
        </w:rPr>
      </w:pPr>
      <w:r>
        <w:rPr>
          <w:b/>
          <w:i/>
          <w:sz w:val="22"/>
          <w:szCs w:val="24"/>
        </w:rPr>
        <w:t xml:space="preserve">Autoriza o Poder Executivo abrir Crédito Suplementar concedido pela Lei n.º 5.384/2023 de 19 de dezembro.</w:t>
      </w:r>
      <w:r>
        <w:rPr>
          <w:b/>
          <w:sz w:val="22"/>
        </w:rPr>
      </w:r>
    </w:p>
    <w:p>
      <w:pPr>
        <w:pStyle w:val="1012"/>
        <w:pBdr/>
        <w:spacing/>
        <w:ind w:left="0"/>
        <w:rPr>
          <w:i/>
          <w:sz w:val="22"/>
          <w:szCs w:val="24"/>
        </w:rPr>
      </w:pPr>
      <w:r>
        <w:rPr>
          <w:i/>
          <w:sz w:val="22"/>
          <w:szCs w:val="24"/>
        </w:rPr>
      </w:r>
      <w:r>
        <w:rPr>
          <w:i/>
          <w:sz w:val="22"/>
          <w:szCs w:val="24"/>
        </w:rPr>
      </w:r>
    </w:p>
    <w:p>
      <w:pPr>
        <w:pBdr/>
        <w:tabs>
          <w:tab w:val="left" w:leader="none" w:pos="709"/>
          <w:tab w:val="left" w:leader="none" w:pos="1134"/>
        </w:tabs>
        <w:spacing/>
        <w:ind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</w:rPr>
        <w:tab/>
        <w:t xml:space="preserve">O Prefeito de Santa Bárbara do Sul, Estado do Rio Grande do Sul, com base no art. 64 da Lei Orgânica Municipal,</w:t>
      </w:r>
      <w:r>
        <w:rPr>
          <w:rFonts w:ascii="Times New Roman" w:hAnsi="Times New Roman"/>
          <w:sz w:val="22"/>
        </w:rPr>
      </w:r>
    </w:p>
    <w:p>
      <w:pPr>
        <w:pBdr/>
        <w:tabs>
          <w:tab w:val="left" w:leader="none" w:pos="709"/>
          <w:tab w:val="left" w:leader="none" w:pos="1134"/>
        </w:tabs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highlight w:val="none"/>
        </w:rPr>
      </w:r>
      <w:r>
        <w:rPr>
          <w:rFonts w:ascii="Times New Roman" w:hAnsi="Times New Roman"/>
          <w:sz w:val="22"/>
          <w:highlight w:val="none"/>
        </w:rPr>
      </w:r>
    </w:p>
    <w:p>
      <w:pPr>
        <w:pBdr/>
        <w:tabs>
          <w:tab w:val="left" w:leader="none" w:pos="709"/>
          <w:tab w:val="left" w:leader="none" w:pos="1134"/>
        </w:tabs>
        <w:spacing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</w:rPr>
        <w:t xml:space="preserve">DECRETA:</w:t>
      </w:r>
      <w:r>
        <w:rPr>
          <w:rFonts w:ascii="Times New Roman" w:hAnsi="Times New Roman"/>
          <w:b/>
          <w:sz w:val="22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highlight w:val="none"/>
        </w:rPr>
      </w:r>
      <w:r>
        <w:rPr>
          <w:rFonts w:ascii="Times New Roman" w:hAnsi="Times New Roman"/>
          <w:b/>
          <w:sz w:val="22"/>
          <w:highlight w:val="none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  <w:r>
        <w:rPr>
          <w:rFonts w:ascii="Times New Roman" w:hAnsi="Times New Roman"/>
          <w:b/>
          <w:sz w:val="22"/>
        </w:rPr>
      </w:r>
    </w:p>
    <w:p>
      <w:pPr>
        <w:pBdr/>
        <w:tabs>
          <w:tab w:val="left" w:leader="none" w:pos="709"/>
        </w:tabs>
        <w:spacing/>
        <w:ind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</w:r>
      <w:r>
        <w:rPr>
          <w:rFonts w:ascii="Times New Roman" w:hAnsi="Times New Roman"/>
          <w:b/>
          <w:bCs/>
          <w:sz w:val="22"/>
        </w:rPr>
      </w:r>
    </w:p>
    <w:p>
      <w:pPr>
        <w:pStyle w:val="1007"/>
        <w:pBdr/>
        <w:tabs>
          <w:tab w:val="left" w:leader="none" w:pos="709"/>
        </w:tabs>
        <w:spacing/>
        <w:ind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 xml:space="preserve"> </w:t>
      </w:r>
      <w:r>
        <w:rPr>
          <w:rFonts w:ascii="Times New Roman" w:hAnsi="Times New Roman"/>
          <w:b/>
          <w:bCs/>
          <w:sz w:val="22"/>
          <w:szCs w:val="24"/>
        </w:rPr>
        <w:tab/>
        <w:t xml:space="preserve">Art. 1.º</w:t>
      </w:r>
      <w:r>
        <w:rPr>
          <w:rFonts w:ascii="Times New Roman" w:hAnsi="Times New Roman"/>
          <w:sz w:val="22"/>
          <w:szCs w:val="24"/>
        </w:rPr>
        <w:t xml:space="preserve"> Fica autorizado o Poder Executivo Municipal a abrir Crédito Suplementar no valor global de </w:t>
      </w:r>
      <w:r>
        <w:rPr>
          <w:rFonts w:ascii="Times New Roman" w:hAnsi="Times New Roman"/>
          <w:b/>
          <w:bCs/>
          <w:sz w:val="22"/>
          <w:szCs w:val="24"/>
        </w:rPr>
        <w:t xml:space="preserve">R$ </w:t>
      </w:r>
      <w:r>
        <w:rPr>
          <w:rFonts w:ascii="Times New Roman" w:hAnsi="Times New Roman"/>
          <w:b/>
          <w:bCs/>
          <w:sz w:val="22"/>
          <w:szCs w:val="24"/>
        </w:rPr>
        <w:t xml:space="preserve">405.698,99</w:t>
      </w:r>
      <w:r>
        <w:rPr>
          <w:rFonts w:ascii="Times New Roman" w:hAnsi="Times New Roman"/>
          <w:bCs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(</w:t>
      </w:r>
      <w:r>
        <w:rPr>
          <w:rFonts w:ascii="Times New Roman" w:hAnsi="Times New Roman"/>
          <w:sz w:val="22"/>
          <w:szCs w:val="24"/>
        </w:rPr>
        <w:t xml:space="preserve">quatrocentos e cinco mil, seiscentos e noventa e oito mil e noventa e nove centavos</w:t>
      </w:r>
      <w:r>
        <w:rPr>
          <w:rFonts w:ascii="Times New Roman" w:hAnsi="Times New Roman"/>
          <w:sz w:val="22"/>
          <w:szCs w:val="24"/>
        </w:rPr>
        <w:t xml:space="preserve">) na(s) seguinte(s) rubrica(s) e especificação(</w:t>
      </w:r>
      <w:r>
        <w:rPr>
          <w:rFonts w:ascii="Times New Roman" w:hAnsi="Times New Roman"/>
          <w:sz w:val="22"/>
          <w:szCs w:val="24"/>
        </w:rPr>
        <w:t xml:space="preserve">ões</w:t>
      </w:r>
      <w:r>
        <w:rPr>
          <w:rFonts w:ascii="Times New Roman" w:hAnsi="Times New Roman"/>
          <w:sz w:val="22"/>
          <w:szCs w:val="24"/>
        </w:rPr>
        <w:t xml:space="preserve">):</w:t>
      </w:r>
      <w:r>
        <w:rPr>
          <w:rFonts w:ascii="Times New Roman" w:hAnsi="Times New Roman"/>
          <w:sz w:val="22"/>
          <w:szCs w:val="24"/>
        </w:rPr>
      </w:r>
    </w:p>
    <w:tbl>
      <w:tblPr>
        <w:tblStyle w:val="1121"/>
        <w:tblW w:w="5000" w:type="pct"/>
        <w:tblCellSpacing w:w="0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567"/>
        <w:gridCol w:w="1127"/>
      </w:tblGrid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02.0202.04.122.0002.2,096 - 3390 39 00 00 000 - FR 0500 - Recursos não Vinculados de Impostos - Manutenção das Assessorias do Gabinete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02.0202.04.122.0002.2,096 - 3390 39 00 00 000 - FR 0500 - Recursos não Vinculados de Impostos - Manutenção das Assessorias do Gabinete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04.0401.04.123.0002.2,005 - 3390 40 00 00 000 - FR 0500 - Recursos não Vinculados de Impostos - Manutenção das Atividades da Secretaria da Fazenda - SERVIÇOS DE TECNOLOGIA DA INFORMAÇÃO E COMUNICAÇÃO-PJ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05.0501.12.122.0002.2,101 - 3390 40 00 00 000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FR 0500 - Recursos não Vinculados de Impostos - CO 1001 - Identificação das Despesas com Manutenção e Desenvolvimento do Ensino - Manutenção das Atividades Administrativas da Secretaria de Educação - SERVIÇOS DE TECNOLOGIA DA INFORMAÇÃO E COMUNICAÇÃO-PJ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1.092,00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05.0502.12.361.0020.1,030 - 4490 51 00 00 000 - FR 0500 - Recursos não Vinculados de Impostos - CO 1001 - Identificação das Despesas com Manutenção e Desenvolvimento do Ensino - Construção, Ampliação e Reforma de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EMEFs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OBRAS E INSTALAÇÕES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06.0601.15.452.0013.2,025 - 3390 39 00 00 000 - FR 0751 - Recursos da Contribuição para o Custeio do Serviço de Iluminação Pública - COSIP - Manutenção do Sistema de Iluminação Pública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1.266,00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263.000,00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07.0701.17.512.0031.2,015 - 3390 39 00 00 000 - FR 0500 - Recursos não Vinculados de Impostos - Manutenção do Serviço de Coleta, Transporte e Destinação Final de Resíduos Sólidos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55.500,00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07.0701.20.606.0011.2,103 - 3350 41 00 00 000 - FR 0500 - Recursos não Vinculados de Impostos - Assistência Técnica e Prestação de Serviços aos Produtores Rurais - CONTRIBUICOES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1.300,00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09.0901.10.122.0014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.2,019 - 3390 33 00 00 000 - FR 0500 - Recursos não Vinculados de Impostos - CO 1002 - Identificação das Despesas com Ações e Serviços Públicos de Saúde - Manutenção das Atividades Administrativas da Secretaria de Saúde - PASSAGENS E DESPESAS COM LOCOMOÇÃO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09.0901.10.301.0014.2,111 - 3390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 00 00 000 - FR 0621 - Transferências Fundo a Fundo de Recursos do SUS provenientes do Governo Estadual - Sub Vínculo 62101 - FES - ATENCAO PSICOSSOCIAL - NAAB - Manutenção da Rede Atenção Psicossocial - NAAB - OUTROS SERVIÇOS DE TERCEIROS - PESSOA FÍSICA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09.0901.10.301.0014.2,111 - 3390 36 00 00 000 - FR 0621 - Transferências Fundo a Fundo de Recursos do SUS provenientes do Governo Estadual - Sub Vínculo 62101 - FES - ATENCAO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PSICOSSOCIAL - NAAB - Manutenção da Rede Atenção Psicossocial - NAAB - OUTROS SERVIÇOS DE TERCEIROS - PESSOA FÍSICA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.10.302.0019.2,049 - 3390 39 00 00 000 - FR 0500 - Recursos não Vinculados de Impostos - CO 1002 - Identificação das Despesas com Ações e Serviços Públicos de Saúde - Manutenção da Limpeza de Lixo Hospitalar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545,00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99.9901.28.845.0000.0,005 - 3320 93 00 00 000 - FR 0715 - Transferências Destinadas ao Setor Cultural - LC nº 195/2022 – Art. 5º - Audiovisual - Restituições de Saldos de Transferências de Outros Entes da Federação - INDENIZAÇÕES E RESTITUIÇÕES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1.173,68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99.9901.28.845.0000.0,005 - 3320 93 00 00 000 - FR 0715 - Transferências Destinadas ao Setor Cultural - LC nº 195/2022 – Art. 5º - Audiovisual - Restituições de Saldos de Transferências de Outros Entes da Federação - INDENIZAÇÕES E RESTITUIÇÕES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1.969,93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.9901.28.845.0000.0,005 - 3320 93 00 00 000 - FR 0716 - Transferências Destinadas ao Setor cultural - LC nº 195/2022 – Art. 8º - Demais Setores da Cultura - Restituições de Saldos de Transferências de Outros Entes da Federação - INDENIZAÇÕES E RESTITUIÇÕES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147,38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99.9901.28.846.0000.0,003 - 3390 47 00 00 000 - FR 0500 - Recursos não Vinculados de Impostos - Contribuições ao PASEP - OBRIGAÇÕES TRIBUTÁRIAS E CONTRIBUTIVAS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405.698,99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1007"/>
        <w:pBdr/>
        <w:tabs>
          <w:tab w:val="left" w:leader="none" w:pos="709"/>
        </w:tabs>
        <w:spacing/>
        <w:ind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Art. 2.º</w:t>
      </w:r>
      <w:r>
        <w:rPr>
          <w:rFonts w:ascii="Times New Roman" w:hAnsi="Times New Roman"/>
          <w:sz w:val="22"/>
          <w:szCs w:val="22"/>
        </w:rPr>
        <w:t xml:space="preserve"> Para cobertura do presente Crédito fica autorizada a redução da(s) seguinte(s) rubrica(s):</w:t>
      </w:r>
      <w:r>
        <w:rPr>
          <w:rFonts w:ascii="Times New Roman" w:hAnsi="Times New Roman"/>
          <w:sz w:val="16"/>
          <w:szCs w:val="16"/>
        </w:rPr>
      </w:r>
    </w:p>
    <w:tbl>
      <w:tblPr>
        <w:tblStyle w:val="1120"/>
        <w:tblW w:w="5000" w:type="pct"/>
        <w:tblCellSpacing w:w="0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567"/>
        <w:gridCol w:w="1127"/>
      </w:tblGrid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02.0201.04.122.0002.2,002 - 3390 30 00 00 000 - FR 0500 - Recursos não Vinculados de Impostos - Manutenção do Gabinete do Prefeito e Vice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10.092,00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03.0301.04.122.0002.1,003 - 4490 52 00 00 000 - FR 0500 - Recursos não Vinculados de Impostos - Reaparelhamento da Secretaria de Administração - EQUIPAMENTOS E MATERIAL PERMANENTE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18.800,00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04.0401.04.123.0002.2,005 - 3390 39 00 00 000 - FR 0500 - Recursos não Vinculados de Impostos - Manutenção das Atividades da Secretaria da Fazenda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05.0502.12.361.0022.2,068 - 3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390 39 00 00 000 - FR 0500 - Recursos não Vinculados de Impostos - CO 1001 - Identificação das Despesas com Manutenção e Desenvolvimento do Ensino - Manutenção do Transporte Escolar para o Ensino Fundamental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05.0502.12.367.0022.2,067 - 3390 30 00 00 000 - FR 0500 - Recursos não Vinculados de Impostos - Manutenção da Merenda Escolar para a Educação Especial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20.700,00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05.0504.13.392.0007.0,034 - 3350 43 00 00 000 - FR 0716 - Transferências Destinadas ao Setor cultural - LC nº 195/2022 – Art. 8º - Demais Setores da Cultura - Apoio ao Setor Cultural - Lei Paulo Gustavo - SUBVENCOES SOCIAIS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147,38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05.0504.13.392.0007.0,034 - 3360 45 00 00 000 - FR 0715 - Transferências Destinadas ao Setor Cultural - LC nº 195/2022 – Art. 5º - Audiovisual - Apoio ao Setor Cultural - Lei Paulo Gustavo - SUBVENÇÕES ECONÔMICAS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05.0504.13.392.0007.2,117 - 3390 30 00 00 000 - FR 0715 - Transferências Destinadas ao Setor Cultural - LC nº 195/2022 – Art. 5º - Audiovisual - Manutenção do Setor Cultural - Lei Paulo Gustavo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05.0504.13.392.0007.2,117 - 3390 30 00 00 000 - FR 0715 - Transferências Destinadas ao Setor Cultural - LC nº 195/2022 – Art. 5º - Audiovisual - Manutenção do Setor Cultural - Lei Paulo Gustavo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626,32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05.0504.13.392.0007.2,117 - 3390 39 00 00 000 - FR 0715 - Transferências Destinadas ao Setor Cultural - LC nº 195/2022 – Art. 5º - Audiovisual - Manutenção do Setor Cultural - Lei Paulo Gustavo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547,36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05.0504.13.392.0007.2,117 - 3390 39 00 00 000 - FR 0715 - Transferências Destinadas ao Setor Cultural - LC nº 195/2022 – Art. 5º - Audiovisual - Manutenção do Setor Cultural - Lei Paulo Gustavo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469,93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06.0601.04.122.0002.1,051 - 3390 39 00 00 000 - FR 0500 - Recursos não Vinculados de Impostos - Melhorias no Prédio da Sec. de Obras, Viação, Habitação e Serviços Públicos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06.0601.04.122.0002.1,051 - 3390 39 00 00 000 - FR 0500 - Recursos não Vinculados de Impostos - Melhorias no Prédio da Sec. de Obras, Viação, Habitação e Serviços Públicos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19.860,00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06.0601.04.122.0002.2,008 - 3390 39 00 00 000 - FR 0500 - Recursos não Vinculados de Impostos - Manutenção da Sec. de Obras, Viação, Habitação e Serviços Públicos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13.545,00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06.0601.15.451.0025.2,085 - 3390 30 00 00 000 - FR 0500 - Recursos não Vinculados de Impostos - Manutenção das Atividades do Desenvolvimento Urbano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06.0601.15.452.0013.2,025 - 3390 30 00 00 000 - FR 0751 - Recursos da Contribuição para o Custeio do Serviço de Iluminação Pública - COSIP - Manutenção do Sistema de Iluminação Pública - MATERIAL DE CONSUMO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1.266,00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06.0602.26.782.0016.2,021 - 3390 39 00 00 000 - FR 0500 - Recursos não Vinculados de Impostos - Manutenção, Conservação e Sinalização de Estradas Municipais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06.0602.26.782.0035.1,062 - 4471 70 00 00 000 - FR 0500 - Recursos não Vinculados de Impostos - Apoio do Desenvolvimento Regional - RATEIO PELA PARTICIPAÇÃO EM CONSÓRCIO PÚBLICO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194.140,00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09.0901.10.301.0014.2,111 - 3390 39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 00 000 - FR 0621 - Transferências Fundo a Fundo de Recursos do SUS provenientes do Governo Estadual - Sub Vínculo 62101 - FES - ATENCAO PSICOSSOCIAL - NAAB - Manutenção da Rede Atenção Psicossocial - NAAB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09.0901.10.301.0014.2,111 - 3390 39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 00 000 - FR 0621 - Transferências Fundo a Fundo de Recursos do SUS provenientes do Governo Estadual - Sub Vínculo 62101 - FES - ATENCAO PSICOSSOCIAL - NAAB - Manutenção da Rede Atenção Psicossocial - NAAB - OUTROS SERVIÇOS DE TERCEIROS - PESSOA JURÍDICA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2.000,00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tcBorders/>
            <w:tcW w:w="410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R$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/>
            <w:tcW w:w="594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405.698,99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827"/>
        <w:pBdr/>
        <w:spacing/>
        <w:ind w:firstLine="708"/>
        <w:rPr>
          <w:sz w:val="22"/>
        </w:rPr>
      </w:pPr>
      <w:r>
        <w:rPr>
          <w:lang w:eastAsia="pt-BR"/>
          <w14:ligatures w14:val="standardContextual"/>
        </w:rPr>
        <w:br/>
      </w:r>
      <w:r>
        <w:rPr>
          <w:sz w:val="18"/>
          <w:lang w:eastAsia="pt-BR"/>
        </w:rPr>
        <w:t xml:space="preserve"> </w:t>
      </w:r>
      <w:r>
        <w:rPr>
          <w:sz w:val="22"/>
          <w:lang w:eastAsia="pt-BR"/>
        </w:rPr>
        <w:tab/>
      </w:r>
      <w:r>
        <w:rPr>
          <w:b/>
          <w:bCs/>
          <w:sz w:val="22"/>
        </w:rPr>
        <w:t xml:space="preserve">Art. 3.º</w:t>
      </w:r>
      <w:r>
        <w:rPr>
          <w:sz w:val="22"/>
        </w:rPr>
        <w:t xml:space="preserve"> Altera o que couber as seguintes Leis Municipais: n.º 5.036/2021, de 10 de agosto de 2021; n.º 5.349/23, de 26 de setembro e n.º 5.384/23, de 19 de dezembro.</w:t>
      </w:r>
      <w:r>
        <w:rPr>
          <w:sz w:val="22"/>
        </w:rPr>
      </w:r>
    </w:p>
    <w:p>
      <w:pPr>
        <w:pStyle w:val="827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27"/>
        <w:pBdr/>
        <w:spacing/>
        <w:ind w:firstLine="708"/>
        <w:rPr>
          <w:sz w:val="22"/>
        </w:rPr>
      </w:pPr>
      <w:r>
        <w:rPr>
          <w:b/>
          <w:bCs/>
          <w:sz w:val="22"/>
        </w:rPr>
        <w:t xml:space="preserve">Art. 4.º</w:t>
      </w:r>
      <w:r>
        <w:rPr>
          <w:sz w:val="22"/>
        </w:rPr>
        <w:t xml:space="preserve"> Este Decreto entra em vigor na data de sua publicação.</w:t>
      </w:r>
      <w:r>
        <w:rPr>
          <w:sz w:val="22"/>
        </w:rPr>
      </w:r>
    </w:p>
    <w:p>
      <w:pPr>
        <w:pStyle w:val="827"/>
        <w:pBdr/>
        <w:spacing/>
        <w:ind w:firstLine="708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Santa Bárbara do Sul, RS, 23 de dezembro de 2024.</w:t>
      </w:r>
      <w:r>
        <w:rPr>
          <w:rFonts w:ascii="Times New Roman" w:hAnsi="Times New Roman"/>
          <w:sz w:val="22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pBdr/>
        <w:spacing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pBdr/>
        <w:spacing/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Mário Roberto </w:t>
      </w:r>
      <w:r>
        <w:rPr>
          <w:rFonts w:ascii="Times New Roman" w:hAnsi="Times New Roman"/>
          <w:sz w:val="22"/>
        </w:rPr>
        <w:t xml:space="preserve">Utzig</w:t>
      </w:r>
      <w:r>
        <w:rPr>
          <w:rFonts w:ascii="Times New Roman" w:hAnsi="Times New Roman"/>
          <w:sz w:val="22"/>
        </w:rPr>
        <w:t xml:space="preserve"> Filho</w:t>
      </w:r>
      <w:r>
        <w:rPr>
          <w:rFonts w:ascii="Times New Roman" w:hAnsi="Times New Roman"/>
          <w:sz w:val="22"/>
        </w:rPr>
      </w:r>
    </w:p>
    <w:p>
      <w:pPr>
        <w:pBdr/>
        <w:spacing/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Prefeito</w:t>
      </w:r>
      <w:r>
        <w:rPr>
          <w:rFonts w:ascii="Times New Roman" w:hAnsi="Times New Roman"/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276" w:right="992" w:bottom="793" w:left="1418" w:header="0" w:footer="73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Symbol">
    <w:panose1 w:val="05050102010706020507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pBdr/>
      <w:spacing/>
      <w:ind/>
      <w:jc w:val="right"/>
      <w:rPr>
        <w:rFonts w:ascii="Times New Roman" w:hAnsi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0609663" behindDoc="1" locked="0" layoutInCell="1" allowOverlap="1">
              <wp:simplePos x="0" y="0"/>
              <wp:positionH relativeFrom="column">
                <wp:posOffset>183832</wp:posOffset>
              </wp:positionH>
              <wp:positionV relativeFrom="paragraph">
                <wp:posOffset>55246</wp:posOffset>
              </wp:positionV>
              <wp:extent cx="5391785" cy="894080"/>
              <wp:effectExtent l="0" t="0" r="0" b="0"/>
              <wp:wrapSquare wrapText="bothSides"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45" t="-843" r="-45" b="-843"/>
                      <a:stretch/>
                    </pic:blipFill>
                    <pic:spPr bwMode="auto">
                      <a:xfrm>
                        <a:off x="0" y="0"/>
                        <a:ext cx="5391785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14.47pt;mso-position-horizontal:absolute;mso-position-vertical-relative:text;margin-top:4.35pt;mso-position-vertical:absolute;width:424.55pt;height:70.40pt;mso-wrap-distance-left:9.05pt;mso-wrap-distance-top:9.00pt;mso-wrap-distance-right:9.05pt;mso-wrap-distance-bottom:9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/>
      </w:rPr>
    </w:r>
  </w:p>
  <w:p>
    <w:pPr>
      <w:pStyle w:val="838"/>
      <w:pBdr/>
      <w:spacing/>
      <w:ind w:right="360"/>
      <w:jc w:val="center"/>
      <w:rPr>
        <w:rFonts w:ascii="Times New Roman" w:hAnsi="Times New Roman"/>
        <w:spacing w:val="8"/>
        <w:sz w:val="14"/>
      </w:rPr>
    </w:pPr>
    <w:r>
      <w:rPr>
        <w:rFonts w:ascii="Times New Roman" w:hAnsi="Times New Roman"/>
        <w:spacing w:val="8"/>
        <w:sz w:val="14"/>
      </w:rPr>
    </w:r>
    <w:r>
      <w:rPr>
        <w:rFonts w:ascii="Times New Roman" w:hAnsi="Times New Roman"/>
        <w:spacing w:val="8"/>
        <w:sz w:val="1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tabs>
        <w:tab w:val="clear" w:leader="none" w:pos="4419"/>
        <w:tab w:val="center" w:leader="none" w:pos="4748"/>
        <w:tab w:val="clear" w:leader="none" w:pos="8838"/>
      </w:tabs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11196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816906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39" cy="111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5.20pt;height:88.16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018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9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7" w:default="1">
    <w:name w:val="Normal"/>
    <w:pPr>
      <w:pBdr/>
      <w:spacing/>
      <w:ind/>
    </w:pPr>
    <w:rPr>
      <w:rFonts w:ascii="Arial" w:hAnsi="Arial"/>
      <w:sz w:val="24"/>
      <w:szCs w:val="24"/>
    </w:rPr>
  </w:style>
  <w:style w:type="paragraph" w:styleId="788">
    <w:name w:val="Heading 1"/>
    <w:basedOn w:val="787"/>
    <w:next w:val="787"/>
    <w:link w:val="8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eastAsia="Arial" w:cs="Arial"/>
      <w:sz w:val="40"/>
      <w:szCs w:val="40"/>
    </w:rPr>
  </w:style>
  <w:style w:type="paragraph" w:styleId="789">
    <w:name w:val="Heading 2"/>
    <w:basedOn w:val="787"/>
    <w:next w:val="787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eastAsia="Arial" w:cs="Arial"/>
      <w:sz w:val="34"/>
    </w:rPr>
  </w:style>
  <w:style w:type="paragraph" w:styleId="790">
    <w:name w:val="Heading 3"/>
    <w:basedOn w:val="787"/>
    <w:next w:val="787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eastAsia="Arial" w:cs="Arial"/>
      <w:sz w:val="30"/>
      <w:szCs w:val="30"/>
    </w:rPr>
  </w:style>
  <w:style w:type="paragraph" w:styleId="791">
    <w:name w:val="Heading 4"/>
    <w:basedOn w:val="787"/>
    <w:next w:val="787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eastAsia="Arial" w:cs="Arial"/>
      <w:b/>
      <w:bCs/>
      <w:sz w:val="26"/>
      <w:szCs w:val="26"/>
    </w:rPr>
  </w:style>
  <w:style w:type="paragraph" w:styleId="792">
    <w:name w:val="Heading 5"/>
    <w:basedOn w:val="787"/>
    <w:next w:val="787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eastAsia="Arial" w:cs="Arial"/>
      <w:b/>
      <w:bCs/>
    </w:rPr>
  </w:style>
  <w:style w:type="paragraph" w:styleId="793">
    <w:name w:val="Heading 6"/>
    <w:basedOn w:val="787"/>
    <w:next w:val="787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eastAsia="Arial" w:cs="Arial"/>
      <w:b/>
      <w:bCs/>
      <w:sz w:val="22"/>
      <w:szCs w:val="22"/>
    </w:rPr>
  </w:style>
  <w:style w:type="paragraph" w:styleId="794">
    <w:name w:val="Heading 7"/>
    <w:basedOn w:val="787"/>
    <w:next w:val="787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795">
    <w:name w:val="Heading 8"/>
    <w:basedOn w:val="787"/>
    <w:next w:val="787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eastAsia="Arial" w:cs="Arial"/>
      <w:i/>
      <w:iCs/>
      <w:sz w:val="22"/>
      <w:szCs w:val="22"/>
    </w:rPr>
  </w:style>
  <w:style w:type="paragraph" w:styleId="796">
    <w:name w:val="Heading 9"/>
    <w:basedOn w:val="787"/>
    <w:next w:val="787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  <w:pPr>
      <w:pBdr/>
      <w:spacing/>
      <w:ind/>
    </w:pPr>
  </w:style>
  <w:style w:type="table" w:styleId="7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9" w:default="1">
    <w:name w:val="No List"/>
    <w:uiPriority w:val="99"/>
    <w:semiHidden/>
    <w:unhideWhenUsed/>
    <w:pPr>
      <w:pBdr/>
      <w:spacing/>
      <w:ind/>
    </w:pPr>
  </w:style>
  <w:style w:type="character" w:styleId="800" w:customStyle="1">
    <w:name w:val="Heading 1 Char"/>
    <w:basedOn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1" w:customStyle="1">
    <w:name w:val="Heading 2 Char"/>
    <w:basedOn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2" w:customStyle="1">
    <w:name w:val="Heading 3 Char"/>
    <w:basedOn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3" w:customStyle="1">
    <w:name w:val="Heading 4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6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Heading 7 Char"/>
    <w:basedOn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Heading 8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Heading 9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Title Char"/>
    <w:basedOn w:val="797"/>
    <w:uiPriority w:val="10"/>
    <w:pPr>
      <w:pBdr/>
      <w:spacing/>
      <w:ind/>
    </w:pPr>
    <w:rPr>
      <w:sz w:val="48"/>
      <w:szCs w:val="48"/>
    </w:rPr>
  </w:style>
  <w:style w:type="character" w:styleId="810" w:customStyle="1">
    <w:name w:val="Subtitle Char"/>
    <w:basedOn w:val="797"/>
    <w:uiPriority w:val="11"/>
    <w:pPr>
      <w:pBdr/>
      <w:spacing/>
      <w:ind/>
    </w:pPr>
    <w:rPr>
      <w:sz w:val="24"/>
      <w:szCs w:val="24"/>
    </w:rPr>
  </w:style>
  <w:style w:type="character" w:styleId="811" w:customStyle="1">
    <w:name w:val="Quote Char"/>
    <w:uiPriority w:val="29"/>
    <w:pPr>
      <w:pBdr/>
      <w:spacing/>
      <w:ind/>
    </w:pPr>
    <w:rPr>
      <w:i/>
    </w:rPr>
  </w:style>
  <w:style w:type="character" w:styleId="812" w:customStyle="1">
    <w:name w:val="Intense Quote Char"/>
    <w:uiPriority w:val="30"/>
    <w:pPr>
      <w:pBdr/>
      <w:spacing/>
      <w:ind/>
    </w:pPr>
    <w:rPr>
      <w:i/>
    </w:rPr>
  </w:style>
  <w:style w:type="character" w:styleId="813" w:customStyle="1">
    <w:name w:val="Header Char"/>
    <w:basedOn w:val="797"/>
    <w:uiPriority w:val="99"/>
    <w:pPr>
      <w:pBdr/>
      <w:spacing/>
      <w:ind/>
    </w:pPr>
  </w:style>
  <w:style w:type="character" w:styleId="814" w:customStyle="1">
    <w:name w:val="Caption Char"/>
    <w:uiPriority w:val="99"/>
    <w:pPr>
      <w:pBdr/>
      <w:spacing/>
      <w:ind/>
    </w:pPr>
  </w:style>
  <w:style w:type="character" w:styleId="815" w:customStyle="1">
    <w:name w:val="Footnote Text Char"/>
    <w:uiPriority w:val="99"/>
    <w:pPr>
      <w:pBdr/>
      <w:spacing/>
      <w:ind/>
    </w:pPr>
    <w:rPr>
      <w:sz w:val="18"/>
    </w:rPr>
  </w:style>
  <w:style w:type="character" w:styleId="816" w:customStyle="1">
    <w:name w:val="Endnote Text Char"/>
    <w:uiPriority w:val="99"/>
    <w:pPr>
      <w:pBdr/>
      <w:spacing/>
      <w:ind/>
    </w:pPr>
    <w:rPr>
      <w:sz w:val="20"/>
    </w:rPr>
  </w:style>
  <w:style w:type="character" w:styleId="817" w:customStyle="1">
    <w:name w:val="Título 1 Char"/>
    <w:link w:val="7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8" w:customStyle="1">
    <w:name w:val="Título 2 Char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9" w:customStyle="1">
    <w:name w:val="Título 3 Char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0" w:customStyle="1">
    <w:name w:val="Título 4 Char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Título 5 Char"/>
    <w:link w:val="7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Título 6 Char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Título 7 Char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Título 8 Char"/>
    <w:link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Título 9 Char"/>
    <w:link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787"/>
    <w:uiPriority w:val="34"/>
    <w:qFormat/>
    <w:pPr>
      <w:pBdr/>
      <w:spacing/>
      <w:ind w:left="720"/>
      <w:contextualSpacing w:val="true"/>
    </w:pPr>
  </w:style>
  <w:style w:type="paragraph" w:styleId="827">
    <w:name w:val="No Spacing"/>
    <w:uiPriority w:val="1"/>
    <w:qFormat/>
    <w:pPr>
      <w:pBdr/>
      <w:spacing/>
      <w:ind/>
    </w:pPr>
  </w:style>
  <w:style w:type="paragraph" w:styleId="828">
    <w:name w:val="Title"/>
    <w:basedOn w:val="787"/>
    <w:next w:val="787"/>
    <w:link w:val="8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9" w:customStyle="1">
    <w:name w:val="Título Char"/>
    <w:link w:val="828"/>
    <w:uiPriority w:val="10"/>
    <w:pPr>
      <w:pBdr/>
      <w:spacing/>
      <w:ind/>
    </w:pPr>
    <w:rPr>
      <w:sz w:val="48"/>
      <w:szCs w:val="48"/>
    </w:rPr>
  </w:style>
  <w:style w:type="paragraph" w:styleId="830">
    <w:name w:val="Subtitle"/>
    <w:basedOn w:val="787"/>
    <w:next w:val="787"/>
    <w:link w:val="831"/>
    <w:uiPriority w:val="11"/>
    <w:qFormat/>
    <w:pPr>
      <w:pBdr/>
      <w:spacing w:after="200" w:before="200"/>
      <w:ind/>
    </w:pPr>
  </w:style>
  <w:style w:type="character" w:styleId="831" w:customStyle="1">
    <w:name w:val="Subtítulo Char"/>
    <w:link w:val="830"/>
    <w:uiPriority w:val="11"/>
    <w:pPr>
      <w:pBdr/>
      <w:spacing/>
      <w:ind/>
    </w:pPr>
    <w:rPr>
      <w:sz w:val="24"/>
      <w:szCs w:val="24"/>
    </w:rPr>
  </w:style>
  <w:style w:type="paragraph" w:styleId="832">
    <w:name w:val="Quote"/>
    <w:basedOn w:val="787"/>
    <w:next w:val="787"/>
    <w:link w:val="833"/>
    <w:uiPriority w:val="29"/>
    <w:qFormat/>
    <w:pPr>
      <w:pBdr/>
      <w:spacing/>
      <w:ind w:right="720" w:left="720"/>
    </w:pPr>
    <w:rPr>
      <w:i/>
    </w:rPr>
  </w:style>
  <w:style w:type="character" w:styleId="833" w:customStyle="1">
    <w:name w:val="Citação Char"/>
    <w:link w:val="832"/>
    <w:uiPriority w:val="29"/>
    <w:pPr>
      <w:pBdr/>
      <w:spacing/>
      <w:ind/>
    </w:pPr>
    <w:rPr>
      <w:i/>
    </w:rPr>
  </w:style>
  <w:style w:type="paragraph" w:styleId="834">
    <w:name w:val="Intense Quote"/>
    <w:basedOn w:val="787"/>
    <w:next w:val="787"/>
    <w:link w:val="8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5" w:customStyle="1">
    <w:name w:val="Citação Intensa Char"/>
    <w:link w:val="834"/>
    <w:uiPriority w:val="30"/>
    <w:pPr>
      <w:pBdr/>
      <w:spacing/>
      <w:ind/>
    </w:pPr>
    <w:rPr>
      <w:i/>
    </w:rPr>
  </w:style>
  <w:style w:type="paragraph" w:styleId="836">
    <w:name w:val="Header"/>
    <w:basedOn w:val="787"/>
    <w:link w:val="837"/>
    <w:pPr>
      <w:pBdr/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/>
    </w:rPr>
  </w:style>
  <w:style w:type="character" w:styleId="837" w:customStyle="1">
    <w:name w:val="Cabeçalho Char1"/>
    <w:link w:val="836"/>
    <w:uiPriority w:val="99"/>
    <w:pPr>
      <w:pBdr/>
      <w:spacing/>
      <w:ind/>
    </w:pPr>
  </w:style>
  <w:style w:type="paragraph" w:styleId="838">
    <w:name w:val="Footer"/>
    <w:basedOn w:val="787"/>
    <w:link w:val="84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39" w:customStyle="1">
    <w:name w:val="Footer Char"/>
    <w:uiPriority w:val="99"/>
    <w:pPr>
      <w:pBdr/>
      <w:spacing/>
      <w:ind/>
    </w:pPr>
  </w:style>
  <w:style w:type="paragraph" w:styleId="840">
    <w:name w:val="Caption"/>
    <w:basedOn w:val="787"/>
    <w:pPr>
      <w:suppressLineNumbers w:val="true"/>
      <w:pBdr/>
      <w:spacing w:after="120" w:before="120"/>
      <w:ind/>
    </w:pPr>
    <w:rPr>
      <w:i/>
      <w:iCs/>
    </w:rPr>
  </w:style>
  <w:style w:type="character" w:styleId="841" w:customStyle="1">
    <w:name w:val="Rodapé Char1"/>
    <w:link w:val="838"/>
    <w:uiPriority w:val="99"/>
    <w:pPr>
      <w:pBdr/>
      <w:spacing/>
      <w:ind/>
    </w:pPr>
  </w:style>
  <w:style w:type="table" w:styleId="842">
    <w:name w:val="Table Grid"/>
    <w:pPr>
      <w:pBdr/>
      <w:spacing/>
      <w:ind/>
    </w:pPr>
    <w:rPr>
      <w:rFonts w:ascii="Calibri" w:hAnsi="Calibri"/>
      <w:sz w:val="22"/>
      <w:szCs w:val="22"/>
      <w:lang w:eastAsia="pt-BR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9">
    <w:name w:val="footnote text"/>
    <w:basedOn w:val="787"/>
    <w:link w:val="970"/>
    <w:uiPriority w:val="99"/>
    <w:semiHidden/>
    <w:unhideWhenUsed/>
    <w:pPr>
      <w:pBdr/>
      <w:spacing w:after="40"/>
      <w:ind/>
    </w:pPr>
    <w:rPr>
      <w:sz w:val="18"/>
    </w:rPr>
  </w:style>
  <w:style w:type="character" w:styleId="970" w:customStyle="1">
    <w:name w:val="Texto de nota de rodapé Char"/>
    <w:link w:val="969"/>
    <w:uiPriority w:val="99"/>
    <w:pPr>
      <w:pBdr/>
      <w:spacing/>
      <w:ind/>
    </w:pPr>
    <w:rPr>
      <w:sz w:val="18"/>
    </w:rPr>
  </w:style>
  <w:style w:type="character" w:styleId="9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2">
    <w:name w:val="endnote text"/>
    <w:basedOn w:val="787"/>
    <w:link w:val="973"/>
    <w:uiPriority w:val="99"/>
    <w:semiHidden/>
    <w:unhideWhenUsed/>
    <w:pPr>
      <w:pBdr/>
      <w:spacing/>
      <w:ind/>
    </w:pPr>
    <w:rPr>
      <w:sz w:val="20"/>
    </w:rPr>
  </w:style>
  <w:style w:type="character" w:styleId="973" w:customStyle="1">
    <w:name w:val="Texto de nota de fim Char"/>
    <w:link w:val="972"/>
    <w:uiPriority w:val="99"/>
    <w:pPr>
      <w:pBdr/>
      <w:spacing/>
      <w:ind/>
    </w:pPr>
    <w:rPr>
      <w:sz w:val="20"/>
    </w:rPr>
  </w:style>
  <w:style w:type="character" w:styleId="9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5">
    <w:name w:val="toc 1"/>
    <w:basedOn w:val="787"/>
    <w:next w:val="787"/>
    <w:uiPriority w:val="39"/>
    <w:unhideWhenUsed/>
    <w:pPr>
      <w:pBdr/>
      <w:spacing w:after="57"/>
      <w:ind/>
    </w:pPr>
  </w:style>
  <w:style w:type="paragraph" w:styleId="976">
    <w:name w:val="toc 2"/>
    <w:basedOn w:val="787"/>
    <w:next w:val="787"/>
    <w:uiPriority w:val="39"/>
    <w:unhideWhenUsed/>
    <w:pPr>
      <w:pBdr/>
      <w:spacing w:after="57"/>
      <w:ind w:left="283"/>
    </w:pPr>
  </w:style>
  <w:style w:type="paragraph" w:styleId="977">
    <w:name w:val="toc 3"/>
    <w:basedOn w:val="787"/>
    <w:next w:val="787"/>
    <w:uiPriority w:val="39"/>
    <w:unhideWhenUsed/>
    <w:pPr>
      <w:pBdr/>
      <w:spacing w:after="57"/>
      <w:ind w:left="567"/>
    </w:pPr>
  </w:style>
  <w:style w:type="paragraph" w:styleId="978">
    <w:name w:val="toc 4"/>
    <w:basedOn w:val="787"/>
    <w:next w:val="787"/>
    <w:uiPriority w:val="39"/>
    <w:unhideWhenUsed/>
    <w:pPr>
      <w:pBdr/>
      <w:spacing w:after="57"/>
      <w:ind w:left="850"/>
    </w:pPr>
  </w:style>
  <w:style w:type="paragraph" w:styleId="979">
    <w:name w:val="toc 5"/>
    <w:basedOn w:val="787"/>
    <w:next w:val="787"/>
    <w:uiPriority w:val="39"/>
    <w:unhideWhenUsed/>
    <w:pPr>
      <w:pBdr/>
      <w:spacing w:after="57"/>
      <w:ind w:left="1134"/>
    </w:pPr>
  </w:style>
  <w:style w:type="paragraph" w:styleId="980">
    <w:name w:val="toc 6"/>
    <w:basedOn w:val="787"/>
    <w:next w:val="787"/>
    <w:uiPriority w:val="39"/>
    <w:unhideWhenUsed/>
    <w:pPr>
      <w:pBdr/>
      <w:spacing w:after="57"/>
      <w:ind w:left="1417"/>
    </w:pPr>
  </w:style>
  <w:style w:type="paragraph" w:styleId="981">
    <w:name w:val="toc 7"/>
    <w:basedOn w:val="787"/>
    <w:next w:val="787"/>
    <w:uiPriority w:val="39"/>
    <w:unhideWhenUsed/>
    <w:pPr>
      <w:pBdr/>
      <w:spacing w:after="57"/>
      <w:ind w:left="1701"/>
    </w:pPr>
  </w:style>
  <w:style w:type="paragraph" w:styleId="982">
    <w:name w:val="toc 8"/>
    <w:basedOn w:val="787"/>
    <w:next w:val="787"/>
    <w:uiPriority w:val="39"/>
    <w:unhideWhenUsed/>
    <w:pPr>
      <w:pBdr/>
      <w:spacing w:after="57"/>
      <w:ind w:left="1984"/>
    </w:pPr>
  </w:style>
  <w:style w:type="paragraph" w:styleId="983">
    <w:name w:val="toc 9"/>
    <w:basedOn w:val="787"/>
    <w:next w:val="787"/>
    <w:uiPriority w:val="39"/>
    <w:unhideWhenUsed/>
    <w:pPr>
      <w:pBdr/>
      <w:spacing w:after="57"/>
      <w:ind w:left="2268"/>
    </w:p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>
    <w:name w:val="table of figures"/>
    <w:basedOn w:val="787"/>
    <w:next w:val="787"/>
    <w:uiPriority w:val="99"/>
    <w:unhideWhenUsed/>
    <w:pPr>
      <w:pBdr/>
      <w:spacing/>
      <w:ind/>
    </w:pPr>
  </w:style>
  <w:style w:type="character" w:styleId="986" w:customStyle="1">
    <w:name w:val="WW8Num1z0"/>
    <w:pPr>
      <w:pBdr/>
      <w:spacing/>
      <w:ind/>
    </w:pPr>
    <w:rPr>
      <w:rFonts w:ascii="Symbol" w:hAnsi="Symbol"/>
    </w:rPr>
  </w:style>
  <w:style w:type="character" w:styleId="987" w:customStyle="1">
    <w:name w:val="Fonte parág. padrão4"/>
    <w:pPr>
      <w:pBdr/>
      <w:spacing/>
      <w:ind/>
    </w:pPr>
  </w:style>
  <w:style w:type="character" w:styleId="988">
    <w:name w:val="Strong"/>
    <w:pPr>
      <w:pBdr/>
      <w:spacing/>
      <w:ind/>
    </w:pPr>
    <w:rPr>
      <w:b/>
      <w:bCs/>
    </w:rPr>
  </w:style>
  <w:style w:type="character" w:styleId="989" w:customStyle="1">
    <w:name w:val="WW8Num2z0"/>
    <w:pPr>
      <w:pBdr/>
      <w:spacing/>
      <w:ind/>
    </w:pPr>
  </w:style>
  <w:style w:type="character" w:styleId="990" w:customStyle="1">
    <w:name w:val="WW8Num2z1"/>
    <w:pPr>
      <w:pBdr/>
      <w:spacing/>
      <w:ind/>
    </w:pPr>
  </w:style>
  <w:style w:type="character" w:styleId="991" w:customStyle="1">
    <w:name w:val="WW8Num2z2"/>
    <w:pPr>
      <w:pBdr/>
      <w:spacing/>
      <w:ind/>
    </w:pPr>
  </w:style>
  <w:style w:type="character" w:styleId="992" w:customStyle="1">
    <w:name w:val="WW8Num2z3"/>
    <w:pPr>
      <w:pBdr/>
      <w:spacing/>
      <w:ind/>
    </w:pPr>
  </w:style>
  <w:style w:type="character" w:styleId="993" w:customStyle="1">
    <w:name w:val="WW8Num2z4"/>
    <w:pPr>
      <w:pBdr/>
      <w:spacing/>
      <w:ind/>
    </w:pPr>
  </w:style>
  <w:style w:type="character" w:styleId="994" w:customStyle="1">
    <w:name w:val="WW8Num2z5"/>
    <w:pPr>
      <w:pBdr/>
      <w:spacing/>
      <w:ind/>
    </w:pPr>
  </w:style>
  <w:style w:type="character" w:styleId="995" w:customStyle="1">
    <w:name w:val="WW8Num2z6"/>
    <w:pPr>
      <w:pBdr/>
      <w:spacing/>
      <w:ind/>
    </w:pPr>
  </w:style>
  <w:style w:type="character" w:styleId="996" w:customStyle="1">
    <w:name w:val="WW8Num2z7"/>
    <w:pPr>
      <w:pBdr/>
      <w:spacing/>
      <w:ind/>
    </w:pPr>
  </w:style>
  <w:style w:type="character" w:styleId="997" w:customStyle="1">
    <w:name w:val="WW8Num2z8"/>
    <w:pPr>
      <w:pBdr/>
      <w:spacing/>
      <w:ind/>
    </w:pPr>
  </w:style>
  <w:style w:type="character" w:styleId="998" w:customStyle="1">
    <w:name w:val="Fonte parág. padrão3"/>
    <w:pPr>
      <w:pBdr/>
      <w:spacing/>
      <w:ind/>
    </w:pPr>
  </w:style>
  <w:style w:type="character" w:styleId="999" w:customStyle="1">
    <w:name w:val="Fonte parág. padrão2"/>
    <w:pPr>
      <w:pBdr/>
      <w:spacing/>
      <w:ind/>
    </w:pPr>
  </w:style>
  <w:style w:type="character" w:styleId="1000" w:customStyle="1">
    <w:name w:val="Fonte parág. padrão1"/>
    <w:pPr>
      <w:pBdr/>
      <w:spacing/>
      <w:ind/>
    </w:pPr>
  </w:style>
  <w:style w:type="character" w:styleId="1001" w:customStyle="1">
    <w:name w:val="Recuo de corpo de texto Char"/>
    <w:pPr>
      <w:pBdr/>
      <w:spacing/>
      <w:ind/>
    </w:pPr>
    <w:rPr>
      <w:sz w:val="24"/>
      <w:lang w:val="pt-BR" w:bidi="ar-SA"/>
    </w:rPr>
  </w:style>
  <w:style w:type="character" w:styleId="1002" w:customStyle="1">
    <w:name w:val="Corpo de texto Char"/>
    <w:pPr>
      <w:pBdr/>
      <w:spacing/>
      <w:ind/>
    </w:pPr>
    <w:rPr>
      <w:rFonts w:ascii="Arial" w:hAnsi="Arial"/>
      <w:sz w:val="24"/>
      <w:lang w:val="pt-BR" w:bidi="ar-SA"/>
    </w:rPr>
  </w:style>
  <w:style w:type="character" w:styleId="1003" w:customStyle="1">
    <w:name w:val="Cabeçalho Char"/>
    <w:pPr>
      <w:pBdr/>
      <w:spacing/>
      <w:ind/>
    </w:pPr>
    <w:rPr>
      <w:sz w:val="24"/>
      <w:szCs w:val="24"/>
    </w:rPr>
  </w:style>
  <w:style w:type="character" w:styleId="1004" w:customStyle="1">
    <w:name w:val="Rodapé Char"/>
    <w:pPr>
      <w:pBdr/>
      <w:spacing/>
      <w:ind/>
    </w:pPr>
    <w:rPr>
      <w:rFonts w:ascii="Arial" w:hAnsi="Arial"/>
      <w:sz w:val="24"/>
      <w:szCs w:val="24"/>
    </w:rPr>
  </w:style>
  <w:style w:type="character" w:styleId="1005" w:customStyle="1">
    <w:name w:val="Recuo de corpo de texto 2 Char"/>
    <w:pPr>
      <w:pBdr/>
      <w:spacing/>
      <w:ind/>
    </w:pPr>
    <w:rPr>
      <w:color w:val="000000"/>
    </w:rPr>
  </w:style>
  <w:style w:type="paragraph" w:styleId="1006" w:customStyle="1">
    <w:name w:val="Título4"/>
    <w:basedOn w:val="787"/>
    <w:next w:val="1007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07">
    <w:name w:val="Body Text"/>
    <w:basedOn w:val="787"/>
    <w:pPr>
      <w:pBdr/>
      <w:spacing/>
      <w:ind/>
      <w:jc w:val="both"/>
    </w:pPr>
    <w:rPr>
      <w:szCs w:val="20"/>
    </w:rPr>
  </w:style>
  <w:style w:type="paragraph" w:styleId="1008">
    <w:name w:val="List"/>
    <w:basedOn w:val="1007"/>
    <w:pPr>
      <w:pBdr/>
      <w:spacing/>
      <w:ind/>
    </w:pPr>
  </w:style>
  <w:style w:type="paragraph" w:styleId="1009" w:customStyle="1">
    <w:name w:val="Índice"/>
    <w:basedOn w:val="787"/>
    <w:pPr>
      <w:suppressLineNumbers w:val="true"/>
      <w:pBdr/>
      <w:spacing/>
      <w:ind/>
    </w:pPr>
  </w:style>
  <w:style w:type="paragraph" w:styleId="1010" w:customStyle="1">
    <w:name w:val="Cabeçalho e Rodapé"/>
    <w:basedOn w:val="78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11">
    <w:name w:val="Balloon Text"/>
    <w:basedOn w:val="787"/>
    <w:pPr>
      <w:pBdr/>
      <w:spacing/>
      <w:ind/>
    </w:pPr>
    <w:rPr>
      <w:rFonts w:ascii="Tahoma" w:hAnsi="Tahoma"/>
      <w:sz w:val="16"/>
      <w:szCs w:val="16"/>
    </w:rPr>
  </w:style>
  <w:style w:type="paragraph" w:styleId="1012">
    <w:name w:val="Body Text Indent"/>
    <w:basedOn w:val="787"/>
    <w:pPr>
      <w:pBdr/>
      <w:spacing/>
      <w:ind w:left="4248"/>
      <w:jc w:val="both"/>
    </w:pPr>
    <w:rPr>
      <w:rFonts w:ascii="Times New Roman" w:hAnsi="Times New Roman"/>
      <w:szCs w:val="20"/>
    </w:rPr>
  </w:style>
  <w:style w:type="paragraph" w:styleId="1013" w:customStyle="1">
    <w:name w:val="Título3"/>
    <w:basedOn w:val="787"/>
    <w:next w:val="1007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14" w:customStyle="1">
    <w:name w:val="Título2"/>
    <w:basedOn w:val="787"/>
    <w:next w:val="1007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15" w:customStyle="1">
    <w:name w:val="Título1"/>
    <w:basedOn w:val="787"/>
    <w:next w:val="1007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16" w:customStyle="1">
    <w:name w:val="Mapa do Documento1"/>
    <w:basedOn w:val="787"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1017" w:customStyle="1">
    <w:name w:val="Recuo de corpo de texto 21"/>
    <w:basedOn w:val="787"/>
    <w:pPr>
      <w:pBdr/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paragraph" w:styleId="1018" w:customStyle="1">
    <w:name w:val="Com marcadores1"/>
    <w:basedOn w:val="787"/>
    <w:pPr>
      <w:numPr>
        <w:numId w:val="1"/>
      </w:numPr>
      <w:pBdr/>
      <w:tabs>
        <w:tab w:val="left" w:leader="none" w:pos="360"/>
      </w:tabs>
      <w:spacing/>
      <w:ind/>
      <w:contextualSpacing w:val="true"/>
    </w:pPr>
  </w:style>
  <w:style w:type="paragraph" w:styleId="1019" w:customStyle="1">
    <w:name w:val="Conteúdo da tabela"/>
    <w:basedOn w:val="787"/>
    <w:pPr>
      <w:suppressLineNumbers w:val="true"/>
      <w:pBdr/>
      <w:spacing/>
      <w:ind/>
    </w:pPr>
  </w:style>
  <w:style w:type="paragraph" w:styleId="1020" w:customStyle="1">
    <w:name w:val="Título de tabela"/>
    <w:basedOn w:val="1019"/>
    <w:pPr>
      <w:pBdr/>
      <w:spacing/>
      <w:ind/>
      <w:jc w:val="center"/>
    </w:pPr>
    <w:rPr>
      <w:b/>
      <w:bCs/>
    </w:rPr>
  </w:style>
  <w:style w:type="table" w:styleId="1021" w:customStyle="1">
    <w:name w:val="Tabela com grade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Tabela com grade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Tabela com grade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Tabela com grade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Tabela com grade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Tabela com grade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Tabela com grade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Tabela com grade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Tabela com grade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Tabela com grade1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Tabela com grade1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Tabela com grade1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Tabela com grade1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Tabela com grade1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Tabela com grade1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Tabela com grade1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Tabela com grade1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Tabela com grade1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Tabela com grade1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Tabela com grade2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Tabela com grade2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Tabela com grade2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Tabela com grade2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Tabela com grade2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Tabela com grade2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Tabela com grade2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Tabela com grade2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Tabela com grade2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Tabela com grade2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Tabela com grade3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Tabela com grade3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Tabela com grade3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Tabela com grade3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Tabela com grade3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Tabela com grade3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Tabela com grade3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Tabela com grade3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Tabela com grade3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Tabela com grade3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Tabela com grade4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Tabela com grade4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Tabela com grade4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Tabela com grade4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ela com grade4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Tabela com grade4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Tabela com grade4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Tabela com grade4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Tabela com grade4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Tabela com grade4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Tabela com grade5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Tabela com grade5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Tabela com grade5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Tabela com grade5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Tabela com grade5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Tabela com grade5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Tabela com grade5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Tabela com grade5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Tabela com grade5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Tabela com grade5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Tabela com grade6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Tabela com grade6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Tabela com grade6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Tabela com grade6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Tabela com grade6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Tabela com grade6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Tabela com grade6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Tabela com grade6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Tabela com grade6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Tabela com grade6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Tabela com grade7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Tabela com grade7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Tabela com grade7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Tabela com grade7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Tabela com grade7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Tabela com grade7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Tabela com grade7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Tabela com grade7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Tabela com grade7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Tabela com grade7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Tabela com grade8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Tabela com grade8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Tabela com grade8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Tabela com grade8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Tabela com grade8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Tabela com grade8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Tabela com grade8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Tabela com grade8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Tabela com grade8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Tabela com grade8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Tabela com grade90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Tabela com grade91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Tabela com grade92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Tabela com grade93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Tabela com grade94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Tabela com grade95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Tabela com grade96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Tabela com grade97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Tabela com grade98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Tabela com grade99"/>
    <w:next w:val="842"/>
    <w:pPr>
      <w:pBdr/>
      <w:spacing/>
      <w:ind/>
    </w:pPr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Tabela com grade100"/>
    <w:next w:val="842"/>
    <w:pPr>
      <w:pBdr/>
      <w:spacing/>
      <w:ind/>
    </w:pPr>
    <w:rPr>
      <w:rFonts w:ascii="Calibri" w:hAnsi="Calibri"/>
      <w:sz w:val="22"/>
      <w:szCs w:val="22"/>
      <w:lang w:eastAsia="pt-BR"/>
      <w14:ligatures w14:val="standardContextu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Tabela com grade101"/>
    <w:next w:val="842"/>
    <w:pPr>
      <w:pBdr/>
      <w:spacing/>
      <w:ind/>
    </w:pPr>
    <w:rPr>
      <w:rFonts w:ascii="Calibri" w:hAnsi="Calibri"/>
      <w:sz w:val="22"/>
      <w:szCs w:val="22"/>
      <w:lang w:eastAsia="pt-BR"/>
      <w14:ligatures w14:val="standardContextu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 Scheid</dc:creator>
  <cp:revision>5</cp:revision>
  <dcterms:created xsi:type="dcterms:W3CDTF">2024-12-26T10:57:00Z</dcterms:created>
  <dcterms:modified xsi:type="dcterms:W3CDTF">2024-12-30T11:33:13Z</dcterms:modified>
</cp:coreProperties>
</file>