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 w:line="360" w:lineRule="auto"/>
        <w:ind w:left="0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DECRETO </w:t>
      </w:r>
      <w:r>
        <w:rPr>
          <w:b/>
          <w:bCs/>
          <w:sz w:val="22"/>
          <w:szCs w:val="22"/>
          <w:u w:val="single"/>
        </w:rPr>
        <w:t xml:space="preserve">N.</w:t>
      </w:r>
      <w:r>
        <w:rPr>
          <w:b/>
          <w:bCs/>
          <w:sz w:val="22"/>
          <w:szCs w:val="22"/>
          <w:u w:val="single"/>
        </w:rPr>
        <w:t xml:space="preserve">º 5.770</w:t>
      </w:r>
      <w:r>
        <w:rPr>
          <w:b/>
          <w:bCs/>
          <w:sz w:val="22"/>
          <w:szCs w:val="22"/>
          <w:u w:val="single"/>
        </w:rPr>
        <w:t xml:space="preserve">, DE 17</w:t>
      </w:r>
      <w:r>
        <w:rPr>
          <w:b/>
          <w:bCs/>
          <w:sz w:val="22"/>
          <w:szCs w:val="22"/>
          <w:u w:val="single"/>
        </w:rPr>
        <w:t xml:space="preserve"> DE ABRIL DE 2025</w:t>
      </w:r>
      <w:r>
        <w:rPr>
          <w:b/>
          <w:bCs/>
          <w:sz w:val="22"/>
          <w:szCs w:val="22"/>
          <w:u w:val="single"/>
        </w:rPr>
        <w:t xml:space="preserve">.</w:t>
      </w:r>
      <w:r>
        <w:rPr>
          <w:b/>
          <w:bCs/>
          <w:sz w:val="22"/>
          <w:szCs w:val="22"/>
          <w:u w:val="single"/>
        </w:rPr>
      </w:r>
      <w:r>
        <w:rPr>
          <w:b/>
          <w:bCs/>
          <w:sz w:val="22"/>
          <w:szCs w:val="22"/>
          <w:u w:val="single"/>
        </w:rPr>
      </w:r>
    </w:p>
    <w:p>
      <w:pPr>
        <w:pStyle w:val="970"/>
        <w:widowControl w:val="true"/>
        <w:pBdr/>
        <w:spacing w:after="0" w:before="0" w:line="360" w:lineRule="auto"/>
        <w:ind w:right="0" w:firstLine="0" w:left="5726"/>
        <w:jc w:val="both"/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</w:p>
    <w:p>
      <w:pPr>
        <w:pStyle w:val="970"/>
        <w:widowControl w:val="true"/>
        <w:pBdr/>
        <w:spacing w:after="0" w:before="0" w:line="360" w:lineRule="auto"/>
        <w:ind w:right="0" w:firstLine="0" w:left="4535"/>
        <w:jc w:val="both"/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</w:rPr>
        <w:t xml:space="preserve">Cria a Comissão Intersetorial para Mapeamento da Demanda por Educação Infantil no município de Santa Bárbara do Sul, </w:t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</w:rPr>
        <w:t xml:space="preserve">conforme especifica e dá outras providências.</w:t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2"/>
          <w:szCs w:val="22"/>
          <w:highlight w:val="none"/>
        </w:rPr>
      </w:r>
    </w:p>
    <w:p>
      <w:pPr>
        <w:pStyle w:val="786"/>
        <w:pBdr/>
        <w:spacing w:line="360" w:lineRule="auto"/>
        <w:ind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</w:p>
    <w:p>
      <w:pPr>
        <w:pStyle w:val="786"/>
        <w:pBdr/>
        <w:spacing w:line="360" w:lineRule="auto"/>
        <w:ind w:firstLine="708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pt-BR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pt-BR"/>
        </w:rPr>
        <w:tab/>
        <w:t xml:space="preserve">O Prefeito de Santa Bárbara do Sul, Estado do Rio Grande do Sul, com base no art. 64 da Lei Orgânica Municipal,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</w:p>
    <w:p>
      <w:pPr>
        <w:pStyle w:val="786"/>
        <w:pBdr/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  <w:t xml:space="preserve">CONSIDERANDO a importância da educação infantil como etapa essencial do desenvolvimento humano e direito assegurado a todas as crianças, conforme art. 208 da Constituição Federal;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</w:p>
    <w:p>
      <w:pPr>
        <w:pStyle w:val="786"/>
        <w:pBdr/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  <w:t xml:space="preserve">CONSIDERANDO o disposto na Lei n.º 9.394/1996 (LDB), que determina a responsabilidade dos municípios pela oferta da educação infantil;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</w:p>
    <w:p>
      <w:pPr>
        <w:pStyle w:val="786"/>
        <w:pBdr/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  <w:t xml:space="preserve">CONSIDERANDO a necessidade de diagnóstico real e atualizado da demanda por vagas em creches no município, especialmente na faixa etária de 0 a 3 anos;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</w:p>
    <w:p>
      <w:pPr>
        <w:pStyle w:val="786"/>
        <w:pBdr/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  <w:t xml:space="preserve">CONSIDERANDO a necessidade de fundamentar ações de expansão da rede municipal de ensino de forma planejada, com base em dados concretos;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</w:p>
    <w:p>
      <w:pPr>
        <w:pStyle w:val="786"/>
        <w:pBdr/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pt-BR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pBdr/>
        <w:spacing w:line="360" w:lineRule="auto"/>
        <w:ind/>
        <w:jc w:val="center"/>
        <w:rPr>
          <w:rFonts w:ascii="Times New Roman" w:hAnsi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DECRETA</w:t>
      </w: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</w:p>
    <w:p>
      <w:pPr>
        <w:pBdr/>
        <w:spacing w:line="360" w:lineRule="auto"/>
        <w:ind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Art. 1.º Fica instituída a Comissão Intersetor</w:t>
      </w:r>
      <w:r>
        <w:rPr>
          <w:rFonts w:ascii="Times New Roman" w:hAnsi="Times New Roman"/>
          <w:sz w:val="22"/>
          <w:szCs w:val="22"/>
        </w:rPr>
        <w:t xml:space="preserve">ial para Mapeamento da Demanda por Educação Infantil, com a finalidade de identificar, quantificar e localizar as crianças de 0 a 3 anos de idade, residentes no município de Santa Bárbara do Sul, bem como identificar a demanda efetiva por vagas em creches.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Art. 2.º A Comissão será composta por representantes das seguintes secretarias: 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– Secretaria Municipal de Educação, Cultura, Desporto e Lazer;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II – Secretaria Municipal de Saúde;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III – Secretaria Municipal de Assistência Social;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IV – Representante do Conselho Municipal de Educação.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Art. 3.º Compete à Comissão: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– Levantar, com apoio das unidades básicas de saúde, CRAS, CadÚnico, visitas domiciliares e demais instrumentos disponíveis, o número de crianças de 0 a 3 anos no município;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II – Identificar, por meio de busca ativa, famílias que desejam ou não matricular suas crianças na rede pública de creche;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III – Sistematizar as informações em relatório técnico para subsidiar a elaboração de políticas públicas e a atualização do Plano Municipal de Educação (PME);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IV – Comunicar periodicamente os resultados ao Poder E</w:t>
      </w:r>
      <w:r>
        <w:rPr>
          <w:rFonts w:ascii="Times New Roman" w:hAnsi="Times New Roman"/>
          <w:sz w:val="22"/>
          <w:szCs w:val="22"/>
          <w:highlight w:val="none"/>
        </w:rPr>
        <w:t xml:space="preserve">xecutivo e demais órgãos competentes.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Art. 4.º A Secretária Municipal de Educação, na qualidade de membro nato e órgão coordenador, será responsável pela coordenação geral dos trabalhos da Comissão Intersetorial, com apoio da presidência do Conselho Municipal de Educação, cabendo a ambas a articulação das ações intersetoriais e a aprovação da consolidação dos dados coletados e da sistematização do relatório técnico final. </w:t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  <w:t xml:space="preserve">Art. 5.º Este Decreto entra em vigor na data da sua publicação.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 w:line="360" w:lineRule="auto"/>
        <w:ind w:right="0" w:firstLine="1417"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Bdr/>
        <w:tabs>
          <w:tab w:val="left" w:leader="none" w:pos="709"/>
          <w:tab w:val="left" w:leader="none" w:pos="1134"/>
        </w:tabs>
        <w:spacing w:line="360" w:lineRule="auto"/>
        <w:ind w:right="0" w:firstLine="1417" w:left="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Santa Bárbara do Sul, 17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de abril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de 20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25.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Bdr/>
        <w:spacing w:line="360" w:lineRule="auto"/>
        <w:ind w:right="140" w:firstLine="1417" w:left="0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5"/>
        <w:pBdr/>
        <w:spacing w:line="360" w:lineRule="auto"/>
        <w:ind w:firstLine="1134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5"/>
        <w:pBdr/>
        <w:spacing w:line="360" w:lineRule="auto"/>
        <w:ind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Leandro Caraffini Veneral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p>
      <w:pPr>
        <w:pStyle w:val="945"/>
        <w:pBdr/>
        <w:spacing w:line="360" w:lineRule="auto"/>
        <w:ind/>
        <w:jc w:val="center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Prefeito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40" w:orient="portrait" w:w="11907"/>
      <w:pgMar w:top="2268" w:right="1418" w:bottom="357" w:left="1418" w:header="0" w:footer="23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Impact">
    <w:panose1 w:val="020B080603090205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Liberation Mono">
    <w:panose1 w:val="02070409020205020404"/>
  </w:font>
  <w:font w:name="Tahoma">
    <w:panose1 w:val="020B06040305040402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single" w:color="000000" w:sz="6" w:space="0"/>
        <w:left w:val="none" w:color="000000" w:sz="4" w:space="0"/>
        <w:bottom w:val="none" w:color="000000" w:sz="4" w:space="0"/>
        <w:right w:val="none" w:color="000000" w:sz="4" w:space="0"/>
      </w:pBdr>
      <w:spacing w:line="360" w:lineRule="auto"/>
      <w:ind/>
      <w:jc w:val="center"/>
      <w:rPr>
        <w:sz w:val="12"/>
        <w:szCs w:val="12"/>
      </w:rPr>
    </w:pPr>
    <w:r>
      <w:rPr>
        <w:rFonts w:eastAsia="Arial" w:cs="Arial"/>
        <w:color w:val="000000"/>
        <w:spacing w:val="8"/>
        <w:sz w:val="12"/>
      </w:rPr>
      <w:t xml:space="preserve">Av.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Eduardo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 de Brito, 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101,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Largo Ildefonso 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Gones</w:t>
    </w:r>
    <w:r>
      <w:rPr>
        <w:rFonts w:ascii="Liberation Serif" w:hAnsi="Liberation Serif" w:eastAsia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hAnsi="Liberation Serif" w:eastAsia="Liberation Serif" w:cs="Liberation Serif"/>
        <w:color w:val="000000"/>
        <w:spacing w:val="8"/>
        <w:sz w:val="12"/>
        <w:szCs w:val="12"/>
      </w:rPr>
      <w:t xml:space="preserve">0</w:t>
    </w:r>
    <w:r>
      <w:rPr>
        <w:sz w:val="12"/>
        <w:szCs w:val="12"/>
      </w:rPr>
      <w:t xml:space="preserve"> - </w:t>
    </w:r>
    <w:r>
      <w:rPr>
        <w:rFonts w:ascii="Times New Roman" w:hAnsi="Times New Roman"/>
        <w:sz w:val="12"/>
        <w:szCs w:val="12"/>
      </w:rPr>
      <w:t xml:space="preserve">www.santabarbaradosul.rs.gov.br</w:t>
    </w:r>
    <w:r>
      <w:rPr>
        <w:sz w:val="12"/>
        <w:szCs w:val="12"/>
      </w:rPr>
    </w:r>
    <w:r>
      <w:rPr>
        <w:sz w:val="12"/>
        <w:szCs w:val="1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  <w:pBdr/>
      <w:spacing/>
      <w:ind/>
      <w:jc w:val="center"/>
      <w:rPr/>
    </w:pPr>
    <w:r>
      <w:rPr>
        <w:highlight w:val="none"/>
      </w:rPr>
    </w:r>
    <w:r>
      <w:rPr>
        <w:highlight w:val="none"/>
      </w:rPr>
    </w:r>
    <w:r/>
  </w:p>
  <w:p>
    <w:pPr>
      <w:pStyle w:val="951"/>
      <w:pBdr/>
      <w:spacing/>
      <w:ind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51"/>
      <w:pBdr/>
      <w:spacing/>
      <w:ind/>
      <w:jc w:val="center"/>
      <w:rPr>
        <w:highlight w:val="none"/>
        <w:lang w:val="pt-BR"/>
      </w:rPr>
    </w:pPr>
    <w:r>
      <w:rPr>
        <w:rFonts w:ascii="Impact" w:hAnsi="Impact" w:eastAsia="Impact" w:cs="Impact"/>
        <w:highlight w:val="none"/>
        <w:lang w:val="pt-BR"/>
      </w:rPr>
    </w:r>
    <w:r>
      <w:rPr>
        <w:rtl w:val="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335597" cy="93268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61380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335597" cy="9326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05.17pt;height:73.44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>
      <w:rPr>
        <w:highlight w:val="none"/>
        <w:lang w:val="pt-BR"/>
      </w:rPr>
    </w:r>
    <w:r>
      <w:rPr>
        <w:highlight w:val="none"/>
        <w:lang w:val="pt-BR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63"/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upperLetter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8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0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7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4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8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Intense Emphasis"/>
    <w:basedOn w:val="9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0">
    <w:name w:val="Intense Reference"/>
    <w:basedOn w:val="9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1">
    <w:name w:val="Subtle Emphasis"/>
    <w:basedOn w:val="9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2">
    <w:name w:val="Emphasis"/>
    <w:basedOn w:val="965"/>
    <w:uiPriority w:val="20"/>
    <w:qFormat/>
    <w:pPr>
      <w:pBdr/>
      <w:spacing/>
      <w:ind/>
    </w:pPr>
    <w:rPr>
      <w:i/>
      <w:iCs/>
    </w:rPr>
  </w:style>
  <w:style w:type="character" w:styleId="763">
    <w:name w:val="Strong"/>
    <w:basedOn w:val="965"/>
    <w:uiPriority w:val="22"/>
    <w:qFormat/>
    <w:pPr>
      <w:pBdr/>
      <w:spacing/>
      <w:ind/>
    </w:pPr>
    <w:rPr>
      <w:b/>
      <w:bCs/>
    </w:rPr>
  </w:style>
  <w:style w:type="character" w:styleId="764">
    <w:name w:val="Subtle Reference"/>
    <w:basedOn w:val="9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5">
    <w:name w:val="Book Title"/>
    <w:basedOn w:val="9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6">
    <w:name w:val="FollowedHyperlink"/>
    <w:basedOn w:val="9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7">
    <w:name w:val="Heading 1"/>
    <w:basedOn w:val="945"/>
    <w:next w:val="945"/>
    <w:link w:val="76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68">
    <w:name w:val="Heading 1 Char"/>
    <w:link w:val="7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9">
    <w:name w:val="Heading 2"/>
    <w:basedOn w:val="945"/>
    <w:next w:val="945"/>
    <w:link w:val="77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0">
    <w:name w:val="Heading 2 Char"/>
    <w:link w:val="76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1">
    <w:name w:val="Heading 3"/>
    <w:basedOn w:val="945"/>
    <w:next w:val="945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2">
    <w:name w:val="Heading 3 Char"/>
    <w:link w:val="77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3">
    <w:name w:val="Heading 4"/>
    <w:basedOn w:val="945"/>
    <w:next w:val="945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4">
    <w:name w:val="Heading 4 Char"/>
    <w:link w:val="77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945"/>
    <w:next w:val="945"/>
    <w:link w:val="77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6">
    <w:name w:val="Heading 5 Char"/>
    <w:link w:val="7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945"/>
    <w:next w:val="945"/>
    <w:link w:val="7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8">
    <w:name w:val="Heading 6 Char"/>
    <w:link w:val="77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945"/>
    <w:next w:val="945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7 Char"/>
    <w:link w:val="7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1">
    <w:name w:val="Heading 8"/>
    <w:basedOn w:val="945"/>
    <w:next w:val="945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2">
    <w:name w:val="Heading 8 Char"/>
    <w:link w:val="78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3">
    <w:name w:val="Heading 9"/>
    <w:basedOn w:val="945"/>
    <w:next w:val="945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>
    <w:name w:val="Heading 9 Char"/>
    <w:link w:val="7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5">
    <w:name w:val="List Paragraph"/>
    <w:basedOn w:val="945"/>
    <w:uiPriority w:val="34"/>
    <w:qFormat/>
    <w:pPr>
      <w:pBdr/>
      <w:spacing/>
      <w:ind w:left="720"/>
      <w:contextualSpacing w:val="true"/>
    </w:pPr>
  </w:style>
  <w:style w:type="paragraph" w:styleId="786">
    <w:name w:val="No Spacing"/>
    <w:uiPriority w:val="1"/>
    <w:qFormat/>
    <w:pPr>
      <w:pBdr/>
      <w:spacing w:after="0" w:before="0" w:line="240" w:lineRule="auto"/>
      <w:ind/>
    </w:pPr>
  </w:style>
  <w:style w:type="paragraph" w:styleId="787">
    <w:name w:val="Title"/>
    <w:basedOn w:val="945"/>
    <w:next w:val="945"/>
    <w:link w:val="78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8">
    <w:name w:val="Title Char"/>
    <w:link w:val="787"/>
    <w:uiPriority w:val="10"/>
    <w:pPr>
      <w:pBdr/>
      <w:spacing/>
      <w:ind/>
    </w:pPr>
    <w:rPr>
      <w:sz w:val="48"/>
      <w:szCs w:val="48"/>
    </w:rPr>
  </w:style>
  <w:style w:type="paragraph" w:styleId="789">
    <w:name w:val="Subtitle"/>
    <w:basedOn w:val="945"/>
    <w:next w:val="945"/>
    <w:link w:val="79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0">
    <w:name w:val="Subtitle Char"/>
    <w:link w:val="789"/>
    <w:uiPriority w:val="11"/>
    <w:pPr>
      <w:pBdr/>
      <w:spacing/>
      <w:ind/>
    </w:pPr>
    <w:rPr>
      <w:sz w:val="24"/>
      <w:szCs w:val="24"/>
    </w:rPr>
  </w:style>
  <w:style w:type="paragraph" w:styleId="791">
    <w:name w:val="Quote"/>
    <w:basedOn w:val="945"/>
    <w:next w:val="945"/>
    <w:link w:val="792"/>
    <w:uiPriority w:val="29"/>
    <w:qFormat/>
    <w:pPr>
      <w:pBdr/>
      <w:spacing/>
      <w:ind w:right="720" w:left="720"/>
    </w:pPr>
    <w:rPr>
      <w:i/>
    </w:rPr>
  </w:style>
  <w:style w:type="character" w:styleId="792">
    <w:name w:val="Quote Char"/>
    <w:link w:val="791"/>
    <w:uiPriority w:val="29"/>
    <w:pPr>
      <w:pBdr/>
      <w:spacing/>
      <w:ind/>
    </w:pPr>
    <w:rPr>
      <w:i/>
    </w:rPr>
  </w:style>
  <w:style w:type="paragraph" w:styleId="793">
    <w:name w:val="Intense Quote"/>
    <w:basedOn w:val="945"/>
    <w:next w:val="945"/>
    <w:link w:val="79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4">
    <w:name w:val="Intense Quote Char"/>
    <w:link w:val="793"/>
    <w:uiPriority w:val="30"/>
    <w:pPr>
      <w:pBdr/>
      <w:spacing/>
      <w:ind/>
    </w:pPr>
    <w:rPr>
      <w:i/>
    </w:rPr>
  </w:style>
  <w:style w:type="paragraph" w:styleId="795">
    <w:name w:val="Header"/>
    <w:basedOn w:val="945"/>
    <w:link w:val="79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6">
    <w:name w:val="Header Char"/>
    <w:link w:val="795"/>
    <w:uiPriority w:val="99"/>
    <w:pPr>
      <w:pBdr/>
      <w:spacing/>
      <w:ind/>
    </w:pPr>
  </w:style>
  <w:style w:type="paragraph" w:styleId="797">
    <w:name w:val="Footer"/>
    <w:basedOn w:val="945"/>
    <w:link w:val="80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98">
    <w:name w:val="Footer Char"/>
    <w:link w:val="797"/>
    <w:uiPriority w:val="99"/>
    <w:pPr>
      <w:pBdr/>
      <w:spacing/>
      <w:ind/>
    </w:pPr>
  </w:style>
  <w:style w:type="paragraph" w:styleId="799">
    <w:name w:val="Caption"/>
    <w:basedOn w:val="945"/>
    <w:next w:val="94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0">
    <w:name w:val="Caption Char"/>
    <w:basedOn w:val="799"/>
    <w:link w:val="797"/>
    <w:uiPriority w:val="99"/>
    <w:pPr>
      <w:pBdr/>
      <w:spacing/>
      <w:ind/>
    </w:pPr>
  </w:style>
  <w:style w:type="table" w:styleId="80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8">
    <w:name w:val="footnote text"/>
    <w:basedOn w:val="945"/>
    <w:link w:val="92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9">
    <w:name w:val="Footnote Text Char"/>
    <w:link w:val="928"/>
    <w:uiPriority w:val="99"/>
    <w:pPr>
      <w:pBdr/>
      <w:spacing/>
      <w:ind/>
    </w:pPr>
    <w:rPr>
      <w:sz w:val="18"/>
    </w:rPr>
  </w:style>
  <w:style w:type="character" w:styleId="93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945"/>
    <w:link w:val="93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2">
    <w:name w:val="Endnote Text Char"/>
    <w:link w:val="931"/>
    <w:uiPriority w:val="99"/>
    <w:pPr>
      <w:pBdr/>
      <w:spacing/>
      <w:ind/>
    </w:pPr>
    <w:rPr>
      <w:sz w:val="20"/>
    </w:rPr>
  </w:style>
  <w:style w:type="character" w:styleId="93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pBdr/>
      <w:spacing w:after="57"/>
      <w:ind w:right="0" w:firstLine="0" w:left="0"/>
    </w:pPr>
  </w:style>
  <w:style w:type="paragraph" w:styleId="935">
    <w:name w:val="toc 2"/>
    <w:basedOn w:val="945"/>
    <w:next w:val="945"/>
    <w:uiPriority w:val="39"/>
    <w:unhideWhenUsed/>
    <w:pPr>
      <w:pBdr/>
      <w:spacing w:after="57"/>
      <w:ind w:right="0" w:firstLine="0" w:left="283"/>
    </w:pPr>
  </w:style>
  <w:style w:type="paragraph" w:styleId="936">
    <w:name w:val="toc 3"/>
    <w:basedOn w:val="945"/>
    <w:next w:val="945"/>
    <w:uiPriority w:val="39"/>
    <w:unhideWhenUsed/>
    <w:pPr>
      <w:pBdr/>
      <w:spacing w:after="57"/>
      <w:ind w:right="0" w:firstLine="0" w:left="567"/>
    </w:pPr>
  </w:style>
  <w:style w:type="paragraph" w:styleId="937">
    <w:name w:val="toc 4"/>
    <w:basedOn w:val="945"/>
    <w:next w:val="945"/>
    <w:uiPriority w:val="39"/>
    <w:unhideWhenUsed/>
    <w:pPr>
      <w:pBdr/>
      <w:spacing w:after="57"/>
      <w:ind w:right="0" w:firstLine="0" w:left="850"/>
    </w:pPr>
  </w:style>
  <w:style w:type="paragraph" w:styleId="938">
    <w:name w:val="toc 5"/>
    <w:basedOn w:val="945"/>
    <w:next w:val="945"/>
    <w:uiPriority w:val="39"/>
    <w:unhideWhenUsed/>
    <w:pPr>
      <w:pBdr/>
      <w:spacing w:after="57"/>
      <w:ind w:right="0" w:firstLine="0" w:left="1134"/>
    </w:pPr>
  </w:style>
  <w:style w:type="paragraph" w:styleId="939">
    <w:name w:val="toc 6"/>
    <w:basedOn w:val="945"/>
    <w:next w:val="945"/>
    <w:uiPriority w:val="39"/>
    <w:unhideWhenUsed/>
    <w:pPr>
      <w:pBdr/>
      <w:spacing w:after="57"/>
      <w:ind w:right="0" w:firstLine="0" w:left="1417"/>
    </w:pPr>
  </w:style>
  <w:style w:type="paragraph" w:styleId="940">
    <w:name w:val="toc 7"/>
    <w:basedOn w:val="945"/>
    <w:next w:val="945"/>
    <w:uiPriority w:val="39"/>
    <w:unhideWhenUsed/>
    <w:pPr>
      <w:pBdr/>
      <w:spacing w:after="57"/>
      <w:ind w:right="0" w:firstLine="0" w:left="1701"/>
    </w:pPr>
  </w:style>
  <w:style w:type="paragraph" w:styleId="941">
    <w:name w:val="toc 8"/>
    <w:basedOn w:val="945"/>
    <w:next w:val="945"/>
    <w:uiPriority w:val="39"/>
    <w:unhideWhenUsed/>
    <w:pPr>
      <w:pBdr/>
      <w:spacing w:after="57"/>
      <w:ind w:right="0" w:firstLine="0" w:left="1984"/>
    </w:pPr>
  </w:style>
  <w:style w:type="paragraph" w:styleId="942">
    <w:name w:val="toc 9"/>
    <w:basedOn w:val="945"/>
    <w:next w:val="945"/>
    <w:uiPriority w:val="39"/>
    <w:unhideWhenUsed/>
    <w:pPr>
      <w:pBdr/>
      <w:spacing w:after="57"/>
      <w:ind w:right="0" w:firstLine="0" w:left="2268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paragraph" w:styleId="945" w:default="1">
    <w:name w:val="Normal"/>
    <w:next w:val="945"/>
    <w:link w:val="945"/>
    <w:pPr>
      <w:pBdr/>
      <w:spacing/>
      <w:ind/>
    </w:pPr>
    <w:rPr>
      <w:rFonts w:ascii="Arial" w:hAnsi="Arial"/>
      <w:sz w:val="24"/>
      <w:szCs w:val="24"/>
      <w:lang w:val="pt-BR" w:eastAsia="pt-BR" w:bidi="ar-SA"/>
    </w:rPr>
  </w:style>
  <w:style w:type="character" w:styleId="946">
    <w:name w:val="Fonte parág. padrão"/>
    <w:next w:val="946"/>
    <w:link w:val="945"/>
    <w:semiHidden/>
    <w:pPr>
      <w:pBdr/>
      <w:spacing/>
      <w:ind/>
    </w:pPr>
  </w:style>
  <w:style w:type="table" w:styleId="947">
    <w:name w:val="Tabela normal"/>
    <w:next w:val="947"/>
    <w:link w:val="945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8">
    <w:name w:val="Sem lista"/>
    <w:next w:val="948"/>
    <w:link w:val="945"/>
    <w:semiHidden/>
    <w:pPr>
      <w:pBdr/>
      <w:spacing/>
      <w:ind/>
    </w:pPr>
  </w:style>
  <w:style w:type="paragraph" w:styleId="949">
    <w:name w:val="Recuo de corpo de texto"/>
    <w:basedOn w:val="945"/>
    <w:next w:val="949"/>
    <w:link w:val="954"/>
    <w:pPr>
      <w:pBdr/>
      <w:spacing/>
      <w:ind w:left="4248"/>
      <w:jc w:val="both"/>
    </w:pPr>
    <w:rPr>
      <w:rFonts w:ascii="Times New Roman" w:hAnsi="Times New Roman"/>
      <w:szCs w:val="20"/>
    </w:rPr>
  </w:style>
  <w:style w:type="paragraph" w:styleId="950">
    <w:name w:val="Corpo de texto"/>
    <w:basedOn w:val="945"/>
    <w:next w:val="950"/>
    <w:link w:val="955"/>
    <w:pPr>
      <w:pBdr/>
      <w:spacing/>
      <w:ind/>
      <w:jc w:val="both"/>
    </w:pPr>
    <w:rPr>
      <w:szCs w:val="20"/>
    </w:rPr>
  </w:style>
  <w:style w:type="paragraph" w:styleId="951">
    <w:name w:val="Cabeçalho"/>
    <w:basedOn w:val="945"/>
    <w:next w:val="951"/>
    <w:link w:val="957"/>
    <w:pPr>
      <w:pBdr/>
      <w:tabs>
        <w:tab w:val="center" w:leader="none" w:pos="4419"/>
        <w:tab w:val="right" w:leader="none" w:pos="8838"/>
      </w:tabs>
      <w:spacing/>
      <w:ind/>
    </w:pPr>
    <w:rPr>
      <w:rFonts w:ascii="Times New Roman" w:hAnsi="Times New Roman"/>
      <w:lang w:val="en-US" w:eastAsia="en-US"/>
    </w:rPr>
  </w:style>
  <w:style w:type="paragraph" w:styleId="952">
    <w:name w:val="Rodapé"/>
    <w:basedOn w:val="945"/>
    <w:next w:val="952"/>
    <w:link w:val="959"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953">
    <w:name w:val="Mapa do Documento"/>
    <w:basedOn w:val="945"/>
    <w:next w:val="953"/>
    <w:link w:val="945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character" w:styleId="954">
    <w:name w:val="Recuo de corpo de texto Char"/>
    <w:next w:val="954"/>
    <w:link w:val="949"/>
    <w:pPr>
      <w:pBdr/>
      <w:spacing/>
      <w:ind/>
    </w:pPr>
    <w:rPr>
      <w:sz w:val="24"/>
      <w:lang w:val="pt-BR" w:eastAsia="pt-BR" w:bidi="ar-SA"/>
    </w:rPr>
  </w:style>
  <w:style w:type="character" w:styleId="955">
    <w:name w:val="Corpo de texto Char"/>
    <w:next w:val="955"/>
    <w:link w:val="950"/>
    <w:pPr>
      <w:pBdr/>
      <w:spacing/>
      <w:ind/>
    </w:pPr>
    <w:rPr>
      <w:rFonts w:ascii="Arial" w:hAnsi="Arial"/>
      <w:sz w:val="24"/>
      <w:lang w:val="pt-BR" w:eastAsia="pt-BR" w:bidi="ar-SA"/>
    </w:rPr>
  </w:style>
  <w:style w:type="paragraph" w:styleId="956">
    <w:name w:val="Texto de balão"/>
    <w:basedOn w:val="945"/>
    <w:next w:val="956"/>
    <w:link w:val="945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7">
    <w:name w:val="Cabeçalho Char"/>
    <w:next w:val="957"/>
    <w:link w:val="951"/>
    <w:pPr>
      <w:pBdr/>
      <w:spacing/>
      <w:ind/>
    </w:pPr>
    <w:rPr>
      <w:sz w:val="24"/>
      <w:szCs w:val="24"/>
    </w:rPr>
  </w:style>
  <w:style w:type="table" w:styleId="958">
    <w:name w:val="Tabela com grade"/>
    <w:basedOn w:val="947"/>
    <w:next w:val="958"/>
    <w:link w:val="945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9">
    <w:name w:val="Rodapé Char"/>
    <w:next w:val="959"/>
    <w:link w:val="952"/>
    <w:pPr>
      <w:pBdr/>
      <w:spacing/>
      <w:ind/>
    </w:pPr>
    <w:rPr>
      <w:rFonts w:ascii="Arial" w:hAnsi="Arial"/>
      <w:sz w:val="24"/>
      <w:szCs w:val="24"/>
    </w:rPr>
  </w:style>
  <w:style w:type="paragraph" w:styleId="960">
    <w:name w:val="Recuo de corpo de texto 2"/>
    <w:basedOn w:val="945"/>
    <w:next w:val="960"/>
    <w:link w:val="961"/>
    <w:pPr>
      <w:pBdr/>
      <w:spacing w:after="120" w:line="480" w:lineRule="auto"/>
      <w:ind w:left="283"/>
    </w:pPr>
    <w:rPr>
      <w:rFonts w:ascii="Times New Roman" w:hAnsi="Times New Roman"/>
      <w:color w:val="000000"/>
      <w:sz w:val="20"/>
      <w:szCs w:val="20"/>
    </w:rPr>
  </w:style>
  <w:style w:type="character" w:styleId="961">
    <w:name w:val="Recuo de corpo de texto 2 Char"/>
    <w:next w:val="961"/>
    <w:link w:val="960"/>
    <w:pPr>
      <w:pBdr/>
      <w:spacing/>
      <w:ind/>
    </w:pPr>
    <w:rPr>
      <w:color w:val="000000"/>
    </w:rPr>
  </w:style>
  <w:style w:type="character" w:styleId="962">
    <w:name w:val="Forte"/>
    <w:next w:val="962"/>
    <w:link w:val="945"/>
    <w:pPr>
      <w:pBdr/>
      <w:spacing/>
      <w:ind/>
    </w:pPr>
    <w:rPr>
      <w:b/>
      <w:bCs/>
    </w:rPr>
  </w:style>
  <w:style w:type="paragraph" w:styleId="963">
    <w:name w:val="Com marcadores"/>
    <w:basedOn w:val="945"/>
    <w:next w:val="963"/>
    <w:link w:val="945"/>
    <w:pPr>
      <w:numPr>
        <w:ilvl w:val="0"/>
        <w:numId w:val="1"/>
      </w:numPr>
      <w:pBdr/>
      <w:spacing/>
      <w:ind/>
      <w:contextualSpacing w:val="true"/>
    </w:pPr>
  </w:style>
  <w:style w:type="character" w:styleId="964">
    <w:name w:val="Ênfase Sutil"/>
    <w:next w:val="964"/>
    <w:link w:val="945"/>
    <w:pPr>
      <w:pBdr/>
      <w:spacing/>
      <w:ind/>
    </w:pPr>
    <w:rPr>
      <w:i/>
      <w:iCs/>
      <w:color w:val="808080"/>
    </w:rPr>
  </w:style>
  <w:style w:type="character" w:styleId="965" w:default="1">
    <w:name w:val="Default Paragraph Font"/>
    <w:uiPriority w:val="1"/>
    <w:semiHidden/>
    <w:unhideWhenUsed/>
    <w:pPr>
      <w:pBdr/>
      <w:spacing/>
      <w:ind/>
    </w:pPr>
  </w:style>
  <w:style w:type="numbering" w:styleId="966" w:default="1">
    <w:name w:val="No List"/>
    <w:uiPriority w:val="99"/>
    <w:semiHidden/>
    <w:unhideWhenUsed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8" w:customStyle="1">
    <w:name w:val="Body Text Indent"/>
    <w:basedOn w:val="76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4248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69" w:customStyle="1">
    <w:name w:val="Body Text"/>
    <w:basedOn w:val="76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70" w:customStyle="1">
    <w:name w:val="Texto préformatado"/>
    <w:basedOn w:val="926"/>
    <w:link w:val="92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ascii="Liberation Mono" w:hAnsi="Liberation Mono" w:eastAsia="NSimSu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971" w:customStyle="1">
    <w:name w:val="Body Text Indent 3"/>
    <w:basedOn w:val="926"/>
    <w:link w:val="93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20" w:afterAutospacing="0" w:before="0" w:beforeAutospacing="0" w:line="240" w:lineRule="auto"/>
      <w:ind w:right="0" w:firstLine="0" w:left="283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972" w:customStyle="1">
    <w:name w:val="tj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0" w:before="10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31</cp:revision>
  <dcterms:modified xsi:type="dcterms:W3CDTF">2025-04-17T11:03:44Z</dcterms:modified>
</cp:coreProperties>
</file>