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34923" w:rsidRPr="00F34923" w:rsidTr="009738E5">
        <w:tc>
          <w:tcPr>
            <w:tcW w:w="4530" w:type="dxa"/>
          </w:tcPr>
          <w:p w:rsidR="009738E5" w:rsidRPr="00F34923" w:rsidRDefault="009738E5" w:rsidP="002605C1">
            <w:pPr>
              <w:rPr>
                <w:rFonts w:eastAsia="Arial"/>
                <w:b/>
              </w:rPr>
            </w:pPr>
            <w:bookmarkStart w:id="0" w:name="_heading=h.gjdgxs" w:colFirst="0" w:colLast="0"/>
            <w:bookmarkEnd w:id="0"/>
            <w:r w:rsidRPr="00F34923">
              <w:rPr>
                <w:rFonts w:eastAsia="Arial"/>
                <w:b/>
              </w:rPr>
              <w:t>PROJETO DE LEI N° 035/2024</w:t>
            </w:r>
          </w:p>
        </w:tc>
        <w:tc>
          <w:tcPr>
            <w:tcW w:w="4531" w:type="dxa"/>
          </w:tcPr>
          <w:p w:rsidR="009738E5" w:rsidRDefault="00E507E4" w:rsidP="002605C1">
            <w:pPr>
              <w:ind w:left="-426" w:firstLine="320"/>
              <w:jc w:val="both"/>
              <w:rPr>
                <w:rFonts w:eastAsia="Arial"/>
                <w:b/>
              </w:rPr>
            </w:pPr>
            <w:r>
              <w:rPr>
                <w:rFonts w:eastAsia="Arial"/>
                <w:b/>
              </w:rPr>
              <w:t>DE 06 DE JUNH</w:t>
            </w:r>
            <w:bookmarkStart w:id="1" w:name="_GoBack"/>
            <w:bookmarkEnd w:id="1"/>
            <w:r w:rsidR="009738E5" w:rsidRPr="00F34923">
              <w:rPr>
                <w:rFonts w:eastAsia="Arial"/>
                <w:b/>
              </w:rPr>
              <w:t>O DE 2024.</w:t>
            </w:r>
          </w:p>
          <w:p w:rsidR="00D407E1" w:rsidRPr="00F34923" w:rsidRDefault="00D407E1" w:rsidP="002605C1">
            <w:pPr>
              <w:ind w:left="-426" w:firstLine="320"/>
              <w:jc w:val="both"/>
              <w:rPr>
                <w:rFonts w:eastAsia="Arial"/>
                <w:b/>
              </w:rPr>
            </w:pPr>
          </w:p>
        </w:tc>
      </w:tr>
      <w:tr w:rsidR="00F34923" w:rsidRPr="00F34923" w:rsidTr="009738E5">
        <w:tc>
          <w:tcPr>
            <w:tcW w:w="4530" w:type="dxa"/>
          </w:tcPr>
          <w:p w:rsidR="009738E5" w:rsidRPr="00F34923" w:rsidRDefault="009738E5" w:rsidP="002605C1">
            <w:pPr>
              <w:rPr>
                <w:rFonts w:eastAsia="Arial"/>
                <w:b/>
              </w:rPr>
            </w:pPr>
          </w:p>
        </w:tc>
        <w:tc>
          <w:tcPr>
            <w:tcW w:w="4531" w:type="dxa"/>
          </w:tcPr>
          <w:p w:rsidR="009738E5" w:rsidRPr="00F34923" w:rsidRDefault="009738E5" w:rsidP="002605C1">
            <w:pPr>
              <w:ind w:left="-106"/>
              <w:jc w:val="both"/>
              <w:rPr>
                <w:rFonts w:eastAsia="Arial"/>
                <w:b/>
              </w:rPr>
            </w:pPr>
            <w:r w:rsidRPr="00F34923">
              <w:rPr>
                <w:rFonts w:eastAsia="Arial"/>
              </w:rPr>
              <w:t>DISPÕE SOBRE A CONCESSÃO DO INCENTIVO DO COMPONENTE DE QUALIDADE NA SECRETARIA MUNICIPAL DE SAÚDE E DÁ OUTRAS PROVIDÊNCIAS.</w:t>
            </w:r>
          </w:p>
        </w:tc>
      </w:tr>
    </w:tbl>
    <w:p w:rsidR="006C27FE" w:rsidRPr="00F34923" w:rsidRDefault="006C27FE" w:rsidP="002605C1">
      <w:pPr>
        <w:ind w:left="-567"/>
        <w:jc w:val="both"/>
        <w:rPr>
          <w:rFonts w:eastAsia="Arial"/>
        </w:rPr>
      </w:pPr>
    </w:p>
    <w:p w:rsidR="006C27FE" w:rsidRPr="00F34923" w:rsidRDefault="006C27FE" w:rsidP="002605C1">
      <w:pPr>
        <w:ind w:left="-567" w:firstLine="993"/>
        <w:jc w:val="both"/>
        <w:rPr>
          <w:rFonts w:eastAsia="Arial"/>
        </w:rPr>
      </w:pPr>
    </w:p>
    <w:p w:rsidR="006C27FE" w:rsidRPr="00F34923" w:rsidRDefault="006C27FE" w:rsidP="002605C1">
      <w:pPr>
        <w:spacing w:before="120" w:after="120"/>
        <w:ind w:left="-567" w:firstLine="1134"/>
        <w:jc w:val="both"/>
        <w:rPr>
          <w:rFonts w:eastAsia="Arial"/>
        </w:rPr>
      </w:pPr>
      <w:r w:rsidRPr="00F34923">
        <w:rPr>
          <w:rFonts w:eastAsia="Arial"/>
        </w:rPr>
        <w:t>Art. 1º Fica instituído o Incentivo do componente de qualidade na Secretaria Municipal de Saúde de São José do Inhacorá, que será pago conforme critérios estabelecidos pelo referido Programa, em conformidade com as disposições contidas na Portaria GM/MS nº 3.493/2024, do Ministério da Saúde.</w:t>
      </w:r>
    </w:p>
    <w:p w:rsidR="006C27FE" w:rsidRPr="00F34923" w:rsidRDefault="006C27FE" w:rsidP="002605C1">
      <w:pPr>
        <w:spacing w:before="120" w:after="120"/>
        <w:ind w:left="-567" w:firstLine="1134"/>
        <w:jc w:val="both"/>
        <w:rPr>
          <w:rFonts w:eastAsia="Arial"/>
        </w:rPr>
      </w:pPr>
      <w:r w:rsidRPr="00F34923">
        <w:rPr>
          <w:rFonts w:eastAsia="Arial"/>
        </w:rPr>
        <w:t>Parágrafo único. O valor do Incentivo de qualidade levará em consideração os resultados dos indicadores alcançados pelas equipes credenciadas e cadastradas no SCNES.</w:t>
      </w:r>
    </w:p>
    <w:p w:rsidR="006C27FE" w:rsidRPr="00F34923" w:rsidRDefault="006C27FE" w:rsidP="002605C1">
      <w:pPr>
        <w:spacing w:before="120" w:after="120"/>
        <w:ind w:left="-567" w:firstLine="1134"/>
        <w:jc w:val="both"/>
        <w:rPr>
          <w:rFonts w:eastAsia="Arial"/>
        </w:rPr>
      </w:pPr>
      <w:r w:rsidRPr="00F34923">
        <w:rPr>
          <w:rFonts w:eastAsia="Arial"/>
        </w:rPr>
        <w:t>Art. 2º Farão jus ao incentivo do componente de qualidade os servidores/empregados efetivos do Município e aos contratados na forma do art. 37, IX da CF/88, vinculados à Secretaria Municipal de Saúde, enquanto estiverem integrados às equipes e incluídos no SCNES e desde que atingidos os critérios estabelecidos pelo referido programa.</w:t>
      </w:r>
    </w:p>
    <w:p w:rsidR="006C27FE" w:rsidRPr="00F34923" w:rsidRDefault="006C27FE" w:rsidP="002605C1">
      <w:pPr>
        <w:spacing w:before="120" w:after="120"/>
        <w:ind w:left="-567" w:firstLine="1134"/>
        <w:jc w:val="both"/>
        <w:rPr>
          <w:rFonts w:eastAsia="Arial"/>
        </w:rPr>
      </w:pPr>
      <w:r w:rsidRPr="00F34923">
        <w:rPr>
          <w:rFonts w:eastAsia="Arial"/>
        </w:rPr>
        <w:t>Parágrafo único. Não fará jus ao componente de qualidade o servidor que, no mês de referência para o repasse do recurso se:</w:t>
      </w:r>
    </w:p>
    <w:p w:rsidR="006C27FE" w:rsidRPr="00F34923" w:rsidRDefault="006C27FE" w:rsidP="002605C1">
      <w:pPr>
        <w:spacing w:before="120" w:after="120"/>
        <w:ind w:left="-567" w:firstLine="1134"/>
        <w:jc w:val="both"/>
        <w:rPr>
          <w:rFonts w:eastAsia="Arial"/>
        </w:rPr>
      </w:pPr>
      <w:r w:rsidRPr="00F34923">
        <w:rPr>
          <w:rFonts w:eastAsia="Arial"/>
        </w:rPr>
        <w:t xml:space="preserve">I – ausentar das atividades da equipe, por qualquer período, sem justificativa; </w:t>
      </w:r>
    </w:p>
    <w:p w:rsidR="006C27FE" w:rsidRPr="00F34923" w:rsidRDefault="006C27FE" w:rsidP="002605C1">
      <w:pPr>
        <w:spacing w:before="120" w:after="120"/>
        <w:ind w:left="-567" w:firstLine="1134"/>
        <w:jc w:val="both"/>
        <w:rPr>
          <w:rFonts w:eastAsia="Arial"/>
        </w:rPr>
      </w:pPr>
      <w:r w:rsidRPr="00F34923">
        <w:rPr>
          <w:rFonts w:eastAsia="Arial"/>
        </w:rPr>
        <w:t>II - tiver uma ou mais faltas injustificadas.</w:t>
      </w:r>
    </w:p>
    <w:p w:rsidR="006C27FE" w:rsidRPr="00F34923" w:rsidRDefault="006C27FE" w:rsidP="002605C1">
      <w:pPr>
        <w:spacing w:before="120" w:after="120"/>
        <w:ind w:left="-567" w:firstLine="1134"/>
        <w:jc w:val="both"/>
        <w:rPr>
          <w:rFonts w:eastAsia="Arial"/>
        </w:rPr>
      </w:pPr>
      <w:r w:rsidRPr="00F34923">
        <w:rPr>
          <w:rFonts w:eastAsia="Arial"/>
        </w:rPr>
        <w:t>III – estiver mais de 7 dias de atestado médico, sejam estes intercalados ou contínuos.</w:t>
      </w:r>
    </w:p>
    <w:p w:rsidR="006C27FE" w:rsidRPr="00F34923" w:rsidRDefault="006C27FE" w:rsidP="002605C1">
      <w:pPr>
        <w:spacing w:before="120" w:after="120"/>
        <w:ind w:left="-567" w:firstLine="1134"/>
        <w:jc w:val="both"/>
        <w:rPr>
          <w:rFonts w:eastAsia="Arial"/>
        </w:rPr>
      </w:pPr>
      <w:r w:rsidRPr="00F34923">
        <w:rPr>
          <w:rFonts w:eastAsia="Arial"/>
        </w:rPr>
        <w:t>Art. 3° Após o Ministério da Saúde efetuar o repasse do componente de qualidade do Município, a cada mês, caberá a Secretaria Municipal de Saúde encaminhar o valor atingido pelas equipes de Estratégia da Saúde da Família -ESF, Equipe de Atenção Primária-EAP, Equipe Multidisciplinar -EMULTI e Equipe de Saúde Bucal -ESB ao Setor de Recursos Humanos para o pagamento por desempenho aos profissionais por categoria.</w:t>
      </w:r>
    </w:p>
    <w:p w:rsidR="006C27FE" w:rsidRPr="00F34923" w:rsidRDefault="006C27FE" w:rsidP="002605C1">
      <w:pPr>
        <w:spacing w:before="120" w:after="120"/>
        <w:ind w:left="-567" w:firstLine="1134"/>
        <w:jc w:val="both"/>
        <w:rPr>
          <w:rFonts w:eastAsia="Arial"/>
        </w:rPr>
      </w:pPr>
      <w:r w:rsidRPr="00F34923">
        <w:rPr>
          <w:rFonts w:eastAsia="Arial"/>
        </w:rPr>
        <w:t>§1° Os indicadores de pagamento por qualidade serão monitorados individualmente pela equipe técnica da Secretaria Municipal de Saúde</w:t>
      </w:r>
      <w:r w:rsidR="00F34923" w:rsidRPr="00F34923">
        <w:rPr>
          <w:rFonts w:eastAsia="Arial"/>
        </w:rPr>
        <w:t>.</w:t>
      </w:r>
    </w:p>
    <w:p w:rsidR="006C27FE" w:rsidRPr="00F34923" w:rsidRDefault="006C27FE" w:rsidP="002605C1">
      <w:pPr>
        <w:spacing w:before="120" w:after="120"/>
        <w:ind w:left="-567" w:firstLine="1134"/>
        <w:jc w:val="both"/>
        <w:rPr>
          <w:rFonts w:eastAsia="Arial"/>
        </w:rPr>
      </w:pPr>
      <w:r w:rsidRPr="00F34923">
        <w:rPr>
          <w:rFonts w:eastAsia="Arial"/>
        </w:rPr>
        <w:t>§2º O valor do incentivo financeiro do pagamento por qualidade para os municípios será vinculado a nota obtido pelo indicador.</w:t>
      </w:r>
    </w:p>
    <w:p w:rsidR="006C27FE" w:rsidRPr="00F34923" w:rsidRDefault="006C27FE" w:rsidP="002605C1">
      <w:pPr>
        <w:spacing w:before="120" w:after="120"/>
        <w:ind w:left="-567" w:firstLine="1134"/>
        <w:jc w:val="both"/>
        <w:rPr>
          <w:rFonts w:eastAsia="Arial"/>
        </w:rPr>
      </w:pPr>
      <w:r w:rsidRPr="00F34923">
        <w:rPr>
          <w:rFonts w:eastAsia="Arial"/>
        </w:rPr>
        <w:t>§3º O aumento ou a redução no resultado do indicador sintético de avaliação de desempenho poderá ocasionar acréscimo ou redução nos valores repassados pelo Governo Federal e, com efeito e proporcionalmente, aos profissionais da saúde elegíveis.</w:t>
      </w:r>
    </w:p>
    <w:p w:rsidR="006C27FE" w:rsidRPr="00F34923" w:rsidRDefault="006C27FE" w:rsidP="002605C1">
      <w:pPr>
        <w:spacing w:before="120" w:after="120"/>
        <w:ind w:left="-567" w:firstLine="1134"/>
        <w:jc w:val="both"/>
        <w:rPr>
          <w:rFonts w:eastAsia="Arial"/>
        </w:rPr>
      </w:pPr>
      <w:r w:rsidRPr="00F34923">
        <w:rPr>
          <w:rFonts w:eastAsia="Arial"/>
        </w:rPr>
        <w:t>Art. 4º O componente qualidade será distribuído da seguinte forma:</w:t>
      </w:r>
    </w:p>
    <w:p w:rsidR="006C27FE" w:rsidRPr="00F34923" w:rsidRDefault="006C27FE" w:rsidP="002605C1">
      <w:pPr>
        <w:spacing w:before="120" w:after="120"/>
        <w:ind w:left="-567" w:firstLine="1134"/>
        <w:jc w:val="both"/>
        <w:rPr>
          <w:rFonts w:eastAsia="Arial"/>
        </w:rPr>
      </w:pPr>
      <w:r w:rsidRPr="00F34923">
        <w:rPr>
          <w:rFonts w:eastAsia="Arial"/>
        </w:rPr>
        <w:t>§1º 85% (oitenta e cinco por cento) do valor será distribuído de forma igualitária entre todos os servidores e empregados públicos</w:t>
      </w:r>
      <w:r w:rsidR="00F34923" w:rsidRPr="00F34923">
        <w:rPr>
          <w:rFonts w:eastAsia="Arial"/>
        </w:rPr>
        <w:t xml:space="preserve"> </w:t>
      </w:r>
      <w:r w:rsidR="00F34923">
        <w:rPr>
          <w:rFonts w:eastAsia="Arial"/>
        </w:rPr>
        <w:t xml:space="preserve">integrantes das </w:t>
      </w:r>
      <w:r w:rsidR="00F34923" w:rsidRPr="00F34923">
        <w:rPr>
          <w:rFonts w:eastAsia="Arial"/>
        </w:rPr>
        <w:t>equipes</w:t>
      </w:r>
      <w:r w:rsidR="00F34923">
        <w:rPr>
          <w:rFonts w:eastAsia="Arial"/>
        </w:rPr>
        <w:t>:</w:t>
      </w:r>
      <w:r w:rsidR="00F34923" w:rsidRPr="00F34923">
        <w:rPr>
          <w:rFonts w:eastAsia="Arial"/>
        </w:rPr>
        <w:t xml:space="preserve"> de Estratégia da Saúde da Família </w:t>
      </w:r>
      <w:r w:rsidR="00F34923" w:rsidRPr="00F34923">
        <w:rPr>
          <w:rFonts w:eastAsia="Arial"/>
        </w:rPr>
        <w:lastRenderedPageBreak/>
        <w:t>-ESF, Equipe de Atenção Primária-EAP, Equipe Multidisciplinar -EMULTI e Equipe de Saúde Bucal -ESB</w:t>
      </w:r>
      <w:r w:rsidRPr="00F34923">
        <w:rPr>
          <w:rFonts w:eastAsia="Arial"/>
        </w:rPr>
        <w:t xml:space="preserve"> da Secretaria Municipal da Saúde, que tem o direito de seu recebimento.</w:t>
      </w:r>
    </w:p>
    <w:p w:rsidR="006C27FE" w:rsidRPr="00F34923" w:rsidRDefault="006C27FE" w:rsidP="002605C1">
      <w:pPr>
        <w:spacing w:before="120" w:after="120"/>
        <w:ind w:left="-567" w:firstLine="1134"/>
        <w:jc w:val="both"/>
        <w:rPr>
          <w:rFonts w:eastAsia="Arial"/>
        </w:rPr>
      </w:pPr>
      <w:r w:rsidRPr="00F34923">
        <w:rPr>
          <w:rFonts w:eastAsia="Arial"/>
        </w:rPr>
        <w:t>§2º 15% (quinze por cento) do valor será distribuído entre os agentes comunitários de saúde.</w:t>
      </w:r>
    </w:p>
    <w:p w:rsidR="006C27FE" w:rsidRPr="00F34923" w:rsidRDefault="006C27FE" w:rsidP="002605C1">
      <w:pPr>
        <w:spacing w:before="120" w:after="120"/>
        <w:ind w:left="-567" w:firstLine="1134"/>
        <w:jc w:val="both"/>
        <w:rPr>
          <w:rFonts w:eastAsia="Arial"/>
        </w:rPr>
      </w:pPr>
      <w:r w:rsidRPr="00F34923">
        <w:rPr>
          <w:rFonts w:eastAsia="Arial"/>
        </w:rPr>
        <w:t>§3º A divisão igualitária levará em conta a carga horária do servidor e empregado público, sendo recebido de forma proporcional.</w:t>
      </w:r>
    </w:p>
    <w:p w:rsidR="006C27FE" w:rsidRPr="00F34923" w:rsidRDefault="006C27FE" w:rsidP="002605C1">
      <w:pPr>
        <w:spacing w:before="120" w:after="120"/>
        <w:ind w:left="-567" w:firstLine="1134"/>
        <w:jc w:val="both"/>
        <w:rPr>
          <w:rFonts w:eastAsia="Arial"/>
        </w:rPr>
      </w:pPr>
      <w:r w:rsidRPr="00F34923">
        <w:rPr>
          <w:rFonts w:eastAsia="Arial"/>
        </w:rPr>
        <w:t>§4º O pagamento será feito de acordo com o repasse do Fundo Nacional de Saúde-FNS.</w:t>
      </w:r>
    </w:p>
    <w:p w:rsidR="006C27FE" w:rsidRPr="00F34923" w:rsidRDefault="006C27FE" w:rsidP="002605C1">
      <w:pPr>
        <w:spacing w:before="120" w:after="120"/>
        <w:ind w:left="-567" w:firstLine="1134"/>
        <w:jc w:val="both"/>
        <w:rPr>
          <w:rFonts w:eastAsia="Arial"/>
        </w:rPr>
      </w:pPr>
      <w:r w:rsidRPr="00F34923">
        <w:rPr>
          <w:rFonts w:eastAsia="Arial"/>
        </w:rPr>
        <w:t>Art. 5° O Incentivo Financeiro Federal do Pagamento do componente qualidade não se incorporará, a qualquer título, aos vencimentos e/ou salário e não será computado para efeito de cálculo de horas extras, férias, 1/3 (um terço) constitucional de férias, e gratificação natalina/décimo terceiro salário.</w:t>
      </w:r>
    </w:p>
    <w:p w:rsidR="006C27FE" w:rsidRPr="00F34923" w:rsidRDefault="006C27FE" w:rsidP="002605C1">
      <w:pPr>
        <w:spacing w:before="120" w:after="120"/>
        <w:ind w:left="-567" w:firstLine="1134"/>
        <w:jc w:val="both"/>
        <w:rPr>
          <w:rFonts w:eastAsia="Arial"/>
        </w:rPr>
      </w:pPr>
      <w:r w:rsidRPr="00F34923">
        <w:rPr>
          <w:rFonts w:eastAsia="Arial"/>
        </w:rPr>
        <w:t>Art. 6º A concessão do Incentivo Financeiro Federal do Pagamento do componente de qualidade está condicionada ao repasse de recursos financeiros pelo Ministério da Saúde ao Município de São José do Inhacorá/RS ficando a existência e manutenção do incentivo financeiro condicionada à continuidade do repasse financeiro federal.</w:t>
      </w:r>
    </w:p>
    <w:p w:rsidR="006C27FE" w:rsidRPr="00F34923" w:rsidRDefault="006C27FE" w:rsidP="002605C1">
      <w:pPr>
        <w:spacing w:before="120" w:after="120"/>
        <w:ind w:left="-567" w:firstLine="1134"/>
        <w:jc w:val="both"/>
        <w:rPr>
          <w:rFonts w:eastAsia="Arial"/>
        </w:rPr>
      </w:pPr>
      <w:r w:rsidRPr="00F34923">
        <w:rPr>
          <w:rFonts w:eastAsia="Arial"/>
        </w:rPr>
        <w:t>Parágrafo único. O repasse de incentivo financeiro aos profissionais será concedido enquanto houver a garantia de repasse de recursos pelo Ministério da Saúde.</w:t>
      </w:r>
    </w:p>
    <w:p w:rsidR="006C27FE" w:rsidRPr="00F34923" w:rsidRDefault="006C27FE" w:rsidP="002605C1">
      <w:pPr>
        <w:spacing w:before="120" w:after="120"/>
        <w:ind w:left="-567" w:firstLine="1134"/>
        <w:jc w:val="both"/>
        <w:rPr>
          <w:rFonts w:eastAsia="Arial"/>
        </w:rPr>
      </w:pPr>
      <w:r w:rsidRPr="00F34923">
        <w:rPr>
          <w:rFonts w:eastAsia="Arial"/>
        </w:rPr>
        <w:t>Art. 7° A substituição do Previne Brasil pela PORTARIA GM/MS Nº 3.493, DE 10 DE ABRIL DE 2024 acarreta a extinção automática da gratificação alcançada aos servidores públicos designados para desempenho de suas funções naquele programa.</w:t>
      </w:r>
    </w:p>
    <w:p w:rsidR="006C27FE" w:rsidRPr="00F34923" w:rsidRDefault="006C27FE" w:rsidP="002605C1">
      <w:pPr>
        <w:spacing w:before="120" w:after="120"/>
        <w:ind w:left="-567" w:firstLine="1134"/>
        <w:jc w:val="both"/>
        <w:rPr>
          <w:rFonts w:eastAsia="Arial"/>
        </w:rPr>
      </w:pPr>
      <w:r w:rsidRPr="00F34923">
        <w:rPr>
          <w:rFonts w:eastAsia="Arial"/>
        </w:rPr>
        <w:t>Art. 8º Esta Lei entra em vigor na data de sua publicação.</w:t>
      </w:r>
    </w:p>
    <w:p w:rsidR="006C27FE" w:rsidRPr="00F34923" w:rsidRDefault="006C27FE" w:rsidP="002605C1">
      <w:pPr>
        <w:spacing w:before="120" w:after="120"/>
        <w:ind w:left="-567" w:firstLine="1134"/>
        <w:jc w:val="both"/>
        <w:rPr>
          <w:rFonts w:eastAsia="Arial"/>
        </w:rPr>
      </w:pPr>
      <w:r w:rsidRPr="00F34923">
        <w:rPr>
          <w:rFonts w:eastAsia="Arial"/>
        </w:rPr>
        <w:t>Art. 9º</w:t>
      </w:r>
      <w:r w:rsidR="002605C1">
        <w:rPr>
          <w:rFonts w:eastAsia="Arial"/>
        </w:rPr>
        <w:t>. Fica revogada</w:t>
      </w:r>
      <w:r w:rsidR="00F34923" w:rsidRPr="00E97646">
        <w:t xml:space="preserve"> em especial a Lei Municipal nº 1.518/2022 de 28 de julho de </w:t>
      </w:r>
      <w:r w:rsidR="00F34923" w:rsidRPr="00F34923">
        <w:t>2022</w:t>
      </w:r>
      <w:r w:rsidRPr="00F34923">
        <w:rPr>
          <w:rFonts w:eastAsia="Arial"/>
        </w:rPr>
        <w:t xml:space="preserve"> e demais disposições em sentido contrário.</w:t>
      </w:r>
    </w:p>
    <w:p w:rsidR="00F34923" w:rsidRDefault="00F34923" w:rsidP="002605C1">
      <w:pPr>
        <w:spacing w:after="120"/>
        <w:ind w:firstLine="1134"/>
        <w:jc w:val="both"/>
      </w:pPr>
    </w:p>
    <w:p w:rsidR="00F34923" w:rsidRPr="00120F63" w:rsidRDefault="00F34923" w:rsidP="002605C1">
      <w:pPr>
        <w:spacing w:after="120"/>
        <w:ind w:firstLine="1134"/>
        <w:jc w:val="both"/>
      </w:pPr>
      <w:r w:rsidRPr="009F5E8E">
        <w:t xml:space="preserve">GABINETE DO PREFEITO MUNICIPAL DE SÃO JOSÉ DO INHACORÁ, EM </w:t>
      </w:r>
      <w:r>
        <w:t>06</w:t>
      </w:r>
      <w:r w:rsidRPr="00120F63">
        <w:t xml:space="preserve"> </w:t>
      </w:r>
      <w:r w:rsidRPr="009F5E8E">
        <w:t xml:space="preserve">DE </w:t>
      </w:r>
      <w:r>
        <w:t>JUNHO</w:t>
      </w:r>
      <w:r w:rsidRPr="00120F63">
        <w:t xml:space="preserve"> DE 2024.</w:t>
      </w:r>
    </w:p>
    <w:p w:rsidR="00F34923" w:rsidRPr="00120F63" w:rsidRDefault="00F34923" w:rsidP="002605C1">
      <w:pPr>
        <w:spacing w:after="120"/>
        <w:ind w:firstLine="1134"/>
        <w:jc w:val="both"/>
      </w:pPr>
    </w:p>
    <w:p w:rsidR="00F34923" w:rsidRPr="009F5E8E" w:rsidRDefault="00F34923" w:rsidP="002605C1">
      <w:pPr>
        <w:spacing w:after="120"/>
        <w:ind w:firstLine="1134"/>
        <w:jc w:val="both"/>
      </w:pPr>
      <w:r w:rsidRPr="009F5E8E">
        <w:t>Visto e de Acordo</w:t>
      </w:r>
    </w:p>
    <w:p w:rsidR="00F34923" w:rsidRPr="00120F63" w:rsidRDefault="00F34923" w:rsidP="002605C1">
      <w:pPr>
        <w:spacing w:after="120"/>
        <w:jc w:val="center"/>
      </w:pPr>
    </w:p>
    <w:p w:rsidR="00F34923" w:rsidRPr="009F5E8E" w:rsidRDefault="00F34923" w:rsidP="002605C1">
      <w:pPr>
        <w:jc w:val="center"/>
        <w:rPr>
          <w:b/>
        </w:rPr>
      </w:pPr>
      <w:r w:rsidRPr="009F5E8E">
        <w:rPr>
          <w:b/>
        </w:rPr>
        <w:t xml:space="preserve">Gilberto Pedro </w:t>
      </w:r>
      <w:proofErr w:type="spellStart"/>
      <w:r w:rsidRPr="009F5E8E">
        <w:rPr>
          <w:b/>
        </w:rPr>
        <w:t>Hammes</w:t>
      </w:r>
      <w:proofErr w:type="spellEnd"/>
    </w:p>
    <w:p w:rsidR="00381FF9" w:rsidRPr="00F34923" w:rsidRDefault="00F34923" w:rsidP="002605C1">
      <w:pPr>
        <w:jc w:val="center"/>
      </w:pPr>
      <w:r w:rsidRPr="009F5E8E">
        <w:rPr>
          <w:b/>
        </w:rPr>
        <w:t>Prefeito Municipal</w:t>
      </w:r>
    </w:p>
    <w:sectPr w:rsidR="00381FF9" w:rsidRPr="00F34923" w:rsidSect="00FA0CD7">
      <w:headerReference w:type="default" r:id="rId7"/>
      <w:pgSz w:w="11906" w:h="16838"/>
      <w:pgMar w:top="2268" w:right="1134" w:bottom="1701" w:left="1701"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ACF" w:rsidRDefault="00056ACF" w:rsidP="00996962">
      <w:r>
        <w:separator/>
      </w:r>
    </w:p>
  </w:endnote>
  <w:endnote w:type="continuationSeparator" w:id="0">
    <w:p w:rsidR="00056ACF" w:rsidRDefault="00056ACF" w:rsidP="0099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ACF" w:rsidRDefault="00056ACF" w:rsidP="00996962">
      <w:r>
        <w:separator/>
      </w:r>
    </w:p>
  </w:footnote>
  <w:footnote w:type="continuationSeparator" w:id="0">
    <w:p w:rsidR="00056ACF" w:rsidRDefault="00056ACF" w:rsidP="00996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962" w:rsidRDefault="00996962" w:rsidP="00996962">
    <w:pPr>
      <w:pStyle w:val="Cabealho"/>
    </w:pPr>
    <w:r>
      <w:rPr>
        <w:noProof/>
        <w:lang w:eastAsia="pt-BR"/>
      </w:rPr>
      <w:drawing>
        <wp:anchor distT="0" distB="0" distL="114300" distR="114300" simplePos="0" relativeHeight="251660288" behindDoc="0" locked="0" layoutInCell="1" allowOverlap="1" wp14:anchorId="7C84C8A0" wp14:editId="0D119D89">
          <wp:simplePos x="0" y="0"/>
          <wp:positionH relativeFrom="margin">
            <wp:posOffset>-99695</wp:posOffset>
          </wp:positionH>
          <wp:positionV relativeFrom="page">
            <wp:posOffset>57150</wp:posOffset>
          </wp:positionV>
          <wp:extent cx="1095375" cy="1095375"/>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ão-vetorizaçã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mc:AlternateContent>
        <mc:Choice Requires="wps">
          <w:drawing>
            <wp:anchor distT="45720" distB="45720" distL="114300" distR="114300" simplePos="0" relativeHeight="251659264" behindDoc="0" locked="0" layoutInCell="1" allowOverlap="1" wp14:anchorId="66EF7AED" wp14:editId="0C4BBF60">
              <wp:simplePos x="0" y="0"/>
              <wp:positionH relativeFrom="column">
                <wp:posOffset>1224280</wp:posOffset>
              </wp:positionH>
              <wp:positionV relativeFrom="paragraph">
                <wp:posOffset>-278130</wp:posOffset>
              </wp:positionV>
              <wp:extent cx="4410075" cy="140462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404620"/>
                      </a:xfrm>
                      <a:prstGeom prst="rect">
                        <a:avLst/>
                      </a:prstGeom>
                      <a:noFill/>
                      <a:ln w="9525">
                        <a:noFill/>
                        <a:miter lim="800000"/>
                        <a:headEnd/>
                        <a:tailEnd/>
                      </a:ln>
                    </wps:spPr>
                    <wps:txbx>
                      <w:txbxContent>
                        <w:p w:rsidR="00996962" w:rsidRPr="00996962" w:rsidRDefault="00996962" w:rsidP="00996962">
                          <w:pPr>
                            <w:rPr>
                              <w:rFonts w:ascii="Arial" w:hAnsi="Arial" w:cs="Arial"/>
                              <w:color w:val="44546A" w:themeColor="text2"/>
                              <w:sz w:val="32"/>
                              <w:szCs w:val="32"/>
                            </w:rPr>
                          </w:pPr>
                          <w:r w:rsidRPr="00996962">
                            <w:rPr>
                              <w:rFonts w:ascii="Arial" w:hAnsi="Arial" w:cs="Arial"/>
                              <w:color w:val="44546A" w:themeColor="text2"/>
                              <w:sz w:val="32"/>
                              <w:szCs w:val="32"/>
                            </w:rPr>
                            <w:t>Estado do Rio Grande do Sul</w:t>
                          </w:r>
                        </w:p>
                        <w:p w:rsidR="00996962" w:rsidRPr="00996962" w:rsidRDefault="00996962" w:rsidP="00996962">
                          <w:pPr>
                            <w:rPr>
                              <w:rFonts w:ascii="Arial" w:hAnsi="Arial" w:cs="Arial"/>
                              <w:b/>
                              <w:color w:val="44546A" w:themeColor="text2"/>
                              <w:sz w:val="32"/>
                              <w:szCs w:val="32"/>
                            </w:rPr>
                          </w:pPr>
                          <w:r w:rsidRPr="00996962">
                            <w:rPr>
                              <w:rFonts w:ascii="Arial" w:hAnsi="Arial" w:cs="Arial"/>
                              <w:b/>
                              <w:color w:val="44546A" w:themeColor="text2"/>
                              <w:sz w:val="32"/>
                              <w:szCs w:val="32"/>
                            </w:rPr>
                            <w:t>MUNICÍPIO DE SÃO JOSÉ DO INHACORÁ</w:t>
                          </w:r>
                        </w:p>
                        <w:p w:rsidR="00996962" w:rsidRPr="00996962" w:rsidRDefault="00996962" w:rsidP="00996962">
                          <w:pPr>
                            <w:jc w:val="center"/>
                            <w:rPr>
                              <w:rFonts w:ascii="Arial" w:hAnsi="Arial" w:cs="Arial"/>
                              <w:color w:val="44546A" w:themeColor="text2"/>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EF7AED" id="_x0000_t202" coordsize="21600,21600" o:spt="202" path="m,l,21600r21600,l21600,xe">
              <v:stroke joinstyle="miter"/>
              <v:path gradientshapeok="t" o:connecttype="rect"/>
            </v:shapetype>
            <v:shape id="Caixa de Texto 2" o:spid="_x0000_s1026" type="#_x0000_t202" style="position:absolute;margin-left:96.4pt;margin-top:-21.9pt;width:34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xIEwIAAPsDAAAOAAAAZHJzL2Uyb0RvYy54bWysU8tu2zAQvBfoPxC815IMOU4Ey0Hq1EWB&#10;9AEk/YA1RVlEKS5L0pbSr++SchyjvRXVgSC1u8Od2eHqduw1O0rnFZqaF7OcM2kENsrsa/79afvu&#10;mjMfwDSg0ciaP0vPb9dv36wGW8k5dqgb6RiBGF8NtuZdCLbKMi862YOfoZWGgi26HgId3T5rHAyE&#10;3utsnudX2YCusQ6F9J7+3k9Bvk74bStF+Nq2Xgama069hbS6tO7imq1XUO0d2E6JUxvwD130oAxd&#10;eoa6hwDs4NRfUL0SDj22YSawz7BtlZCJA7Ep8j/YPHZgZeJC4nh7lsn/P1jx5fjNMdXUfF4sOTPQ&#10;05A2oEZgjWRPcgzI5lGlwfqKkh8tpYfxPY407cTY2wcUPzwzuOnA7OWdczh0EhrqsoiV2UXphOMj&#10;yG74jA1dBoeACWhsXR8lJFEYodO0ns8Toj6YoJ9lWeT5csGZoFhR5uXVPM0wg+ql3DofPkrsWdzU&#10;3JEFEjwcH3yI7UD1khJvM7hVWicbaMOGmt8s5otUcBHpVSCXatXX/DqP3+SbyPKDaVJxAKWnPV2g&#10;zYl2ZDpxDuNupMSoxQ6bZxLA4eRGej206dD94mwgJ9bc/zyAk5zpT4ZEvCnKMlo3HcrFkhgzdxnZ&#10;XUbACIKqeeBs2m5Csnvk6u0dib1VSYbXTk69ksOSOqfXEC18eU5Zr292/RsAAP//AwBQSwMEFAAG&#10;AAgAAAAhAI/570vfAAAACwEAAA8AAABkcnMvZG93bnJldi54bWxMj8FOwzAQRO9I/IO1SNxah7Qi&#10;IcSpKtSWI1Aizm68JBHxOrLdNPw9ywluO5rR7JtyM9tBTOhD70jB3TIBgdQ401OroH7fL3IQIWoy&#10;enCECr4xwKa6vip1YdyF3nA6xlZwCYVCK+hiHAspQ9Oh1WHpRiT2Pp23OrL0rTReX7jcDjJNkntp&#10;dU/8odMjPnXYfB3PVsEYx0P27F9et7v9lNQfhzrt251Stzfz9hFExDn+heEXn9GhYqaTO5MJYmD9&#10;kDJ6VLBYr/jgRJ5nKxAntrJsDbIq5f8N1Q8AAAD//wMAUEsBAi0AFAAGAAgAAAAhALaDOJL+AAAA&#10;4QEAABMAAAAAAAAAAAAAAAAAAAAAAFtDb250ZW50X1R5cGVzXS54bWxQSwECLQAUAAYACAAAACEA&#10;OP0h/9YAAACUAQAACwAAAAAAAAAAAAAAAAAvAQAAX3JlbHMvLnJlbHNQSwECLQAUAAYACAAAACEA&#10;DoLMSBMCAAD7AwAADgAAAAAAAAAAAAAAAAAuAgAAZHJzL2Uyb0RvYy54bWxQSwECLQAUAAYACAAA&#10;ACEAj/nvS98AAAALAQAADwAAAAAAAAAAAAAAAABtBAAAZHJzL2Rvd25yZXYueG1sUEsFBgAAAAAE&#10;AAQA8wAAAHkFAAAAAA==&#10;" filled="f" stroked="f">
              <v:textbox style="mso-fit-shape-to-text:t">
                <w:txbxContent>
                  <w:p w:rsidR="00996962" w:rsidRPr="00996962" w:rsidRDefault="00996962" w:rsidP="00996962">
                    <w:pPr>
                      <w:rPr>
                        <w:rFonts w:ascii="Arial" w:hAnsi="Arial" w:cs="Arial"/>
                        <w:color w:val="44546A" w:themeColor="text2"/>
                        <w:sz w:val="32"/>
                        <w:szCs w:val="32"/>
                      </w:rPr>
                    </w:pPr>
                    <w:r w:rsidRPr="00996962">
                      <w:rPr>
                        <w:rFonts w:ascii="Arial" w:hAnsi="Arial" w:cs="Arial"/>
                        <w:color w:val="44546A" w:themeColor="text2"/>
                        <w:sz w:val="32"/>
                        <w:szCs w:val="32"/>
                      </w:rPr>
                      <w:t>Estado do Rio Grande do Sul</w:t>
                    </w:r>
                  </w:p>
                  <w:p w:rsidR="00996962" w:rsidRPr="00996962" w:rsidRDefault="00996962" w:rsidP="00996962">
                    <w:pPr>
                      <w:rPr>
                        <w:rFonts w:ascii="Arial" w:hAnsi="Arial" w:cs="Arial"/>
                        <w:b/>
                        <w:color w:val="44546A" w:themeColor="text2"/>
                        <w:sz w:val="32"/>
                        <w:szCs w:val="32"/>
                      </w:rPr>
                    </w:pPr>
                    <w:r w:rsidRPr="00996962">
                      <w:rPr>
                        <w:rFonts w:ascii="Arial" w:hAnsi="Arial" w:cs="Arial"/>
                        <w:b/>
                        <w:color w:val="44546A" w:themeColor="text2"/>
                        <w:sz w:val="32"/>
                        <w:szCs w:val="32"/>
                      </w:rPr>
                      <w:t>MUNICÍPIO DE SÃO JOSÉ DO INHACORÁ</w:t>
                    </w:r>
                  </w:p>
                  <w:p w:rsidR="00996962" w:rsidRPr="00996962" w:rsidRDefault="00996962" w:rsidP="00996962">
                    <w:pPr>
                      <w:jc w:val="center"/>
                      <w:rPr>
                        <w:rFonts w:ascii="Arial" w:hAnsi="Arial" w:cs="Arial"/>
                        <w:color w:val="44546A" w:themeColor="text2"/>
                        <w:sz w:val="28"/>
                        <w:szCs w:val="28"/>
                      </w:rPr>
                    </w:pPr>
                  </w:p>
                </w:txbxContent>
              </v:textbox>
              <w10:wrap type="square"/>
            </v:shape>
          </w:pict>
        </mc:Fallback>
      </mc:AlternateContent>
    </w:r>
  </w:p>
  <w:p w:rsidR="00996962" w:rsidRDefault="0099696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F4C39"/>
    <w:multiLevelType w:val="hybridMultilevel"/>
    <w:tmpl w:val="F8708E68"/>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962"/>
    <w:rsid w:val="00056ACF"/>
    <w:rsid w:val="00063753"/>
    <w:rsid w:val="00085527"/>
    <w:rsid w:val="002605C1"/>
    <w:rsid w:val="00381FF9"/>
    <w:rsid w:val="0042474C"/>
    <w:rsid w:val="006C27FE"/>
    <w:rsid w:val="00971088"/>
    <w:rsid w:val="009738E5"/>
    <w:rsid w:val="00996962"/>
    <w:rsid w:val="009C7089"/>
    <w:rsid w:val="009E2BD7"/>
    <w:rsid w:val="00D407E1"/>
    <w:rsid w:val="00E507E4"/>
    <w:rsid w:val="00EB078A"/>
    <w:rsid w:val="00F34923"/>
    <w:rsid w:val="00FA0C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AB65E123-69A6-407C-A48E-534E241C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74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696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96962"/>
  </w:style>
  <w:style w:type="paragraph" w:styleId="Rodap">
    <w:name w:val="footer"/>
    <w:basedOn w:val="Normal"/>
    <w:link w:val="RodapChar"/>
    <w:uiPriority w:val="99"/>
    <w:unhideWhenUsed/>
    <w:rsid w:val="0099696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96962"/>
  </w:style>
  <w:style w:type="character" w:styleId="Hyperlink">
    <w:name w:val="Hyperlink"/>
    <w:basedOn w:val="Fontepargpadro"/>
    <w:uiPriority w:val="99"/>
    <w:unhideWhenUsed/>
    <w:rsid w:val="00996962"/>
    <w:rPr>
      <w:color w:val="0563C1" w:themeColor="hyperlink"/>
      <w:u w:val="single"/>
    </w:rPr>
  </w:style>
  <w:style w:type="table" w:styleId="Tabelacomgrade">
    <w:name w:val="Table Grid"/>
    <w:basedOn w:val="Tabelanormal"/>
    <w:uiPriority w:val="59"/>
    <w:rsid w:val="004247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855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085527"/>
    <w:pPr>
      <w:spacing w:after="120"/>
    </w:pPr>
  </w:style>
  <w:style w:type="paragraph" w:styleId="PargrafodaLista">
    <w:name w:val="List Paragraph"/>
    <w:basedOn w:val="Normal"/>
    <w:uiPriority w:val="34"/>
    <w:qFormat/>
    <w:rsid w:val="006C27FE"/>
    <w:pPr>
      <w:ind w:left="720"/>
      <w:contextualSpacing/>
    </w:pPr>
  </w:style>
  <w:style w:type="paragraph" w:styleId="Textodebalo">
    <w:name w:val="Balloon Text"/>
    <w:basedOn w:val="Normal"/>
    <w:link w:val="TextodebaloChar"/>
    <w:uiPriority w:val="99"/>
    <w:semiHidden/>
    <w:unhideWhenUsed/>
    <w:rsid w:val="00E507E4"/>
    <w:rPr>
      <w:rFonts w:ascii="Segoe UI" w:hAnsi="Segoe UI" w:cs="Segoe UI"/>
      <w:sz w:val="18"/>
      <w:szCs w:val="18"/>
    </w:rPr>
  </w:style>
  <w:style w:type="character" w:customStyle="1" w:styleId="TextodebaloChar">
    <w:name w:val="Texto de balão Char"/>
    <w:basedOn w:val="Fontepargpadro"/>
    <w:link w:val="Textodebalo"/>
    <w:uiPriority w:val="99"/>
    <w:semiHidden/>
    <w:rsid w:val="00E507E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675</Words>
  <Characters>3651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2024-06-07T14:35:00Z</cp:lastPrinted>
  <dcterms:created xsi:type="dcterms:W3CDTF">2024-06-07T13:42:00Z</dcterms:created>
  <dcterms:modified xsi:type="dcterms:W3CDTF">2024-06-07T14:36:00Z</dcterms:modified>
</cp:coreProperties>
</file>